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ATA/231/2011 vom 8. April 2011</w:t>
      </w:r>
    </w:p>
    <w:p>
      <w:r>
        <w:t>GE Cour de justice, 2011-04-08, FR</w:t>
      </w:r>
    </w:p>
    <w:p>
      <w:r>
        <w:rPr>
          <w:b/>
        </w:rPr>
        <w:t xml:space="preserve">Quelle: </w:t>
      </w:r>
      <w:r>
        <w:t>https://mcp.opencaselaw.ch/entscheid/ge_gerichte_ATA_231_2011</w:t>
      </w:r>
    </w:p>
    <w:p>
      <w:r>
        <w:t>FR: GE_GERICHTE ATA/231/2011 du 8 avril 2011</w:t>
      </w:r>
    </w:p>
    <w:p>
      <w:r>
        <w:t>IT: GE_GERICHTE ATA/231/2011 del 8 aprile 2011</w:t>
      </w:r>
    </w:p>
    <w:p>
      <w:pPr>
        <w:pStyle w:val="Heading2"/>
      </w:pPr>
      <w:r>
        <w:t>Erwägungen</w:t>
      </w:r>
    </w:p>
    <w:p>
      <w:r>
        <w:rPr>
          <w:b/>
        </w:rPr>
        <w:t>E. 31</w:t>
      </w:r>
    </w:p>
    <w:p>
      <w:r>
        <w:t>décembre 2010) ;</w:t>
      </w:r>
    </w:p>
    <w:p>
      <w:r>
        <w:t>que selon l’art. 66 al. 1 LPA, le recours a effet suspensif ;</w:t>
      </w:r>
    </w:p>
    <w:p>
      <w:r>
        <w:t>qu’à teneur de cette même disposition, l’autorité de première instance peut retirer l’effet suspensif au recours ;</w:t>
      </w:r>
    </w:p>
    <w:p>
      <w:r>
        <w:t>que vu le rapport précité du CURLM, aux termes duquel M. B______ a été déclaré inapte à la conduite des véhicules à moteur du troisième groupe ;</w:t>
      </w:r>
    </w:p>
    <w:p>
      <w:r>
        <w:t>que le conducteur faisant l’objet d’une mesure de retrait du permis de conduire à titre admonitoire bénéficie de l’effet suspensif attaché en règle générale au recours ;</w:t>
      </w:r>
    </w:p>
    <w:p>
      <w:r>
        <w:t>qu’un tel conducteur est supposé satisfaire notamment aux conditions des articles 14 et 15 de la loi fédérale sur la circulation routière du 19 décembre 1958 (LCR - RS 741.091) ;</w:t>
      </w:r>
    </w:p>
    <w:p>
      <w:r>
        <w:t>qu’en matière de retrait dit de sécurité, l’aptitude même du conducteur est remise en cause ;</w:t>
      </w:r>
    </w:p>
    <w:p>
      <w:r>
        <w:t>que le recourant ne peut détenir valablement l’autorisation de conduire un véhicule automobile, vu le doute sur son aptitude ;</w:t>
      </w:r>
    </w:p>
    <w:p>
      <w:r>
        <w:t>que l’art. 16 al. 1 LCR fonde la compétence de l’OCAN de procéder au retrait de sécurité ;</w:t>
      </w:r>
    </w:p>
    <w:p>
      <w:r>
        <w:t>que selon la jurisprudence du Tribunal fédéral, il n’y a pas lieu d’ordonner la restitution, à titre provisoire, du permis de conduire en matière de retrait de sécurité (ATF 115 Ib 157 consid. 2 p. 158 ; BUSSY &amp; RUSCONI, op. cit., note 1.1 ad art. 24 p. 241) ;</w:t>
      </w:r>
    </w:p>
    <w:p>
      <w:r>
        <w:t>que les conclusions prises par le recourant tendant à la restitution de son permis de conduire constituent une requête de mesures provisionnelles visant à la délivrance d’un permis de conduire ;</w:t>
      </w:r>
    </w:p>
    <w:p>
      <w:r>
        <w:t>que si ces dernières étaient ordonnées, elles équivaudraient à l’admission du recours avant jugement sur le fond, le recourant se voyant ainsi reconnaître provisoirement le droit de conduire un véhicule automobile malgré le retrait de sécurité, ordonné par l’autorité intimée ;</w:t>
      </w:r>
    </w:p>
    <w:p>
      <w:r>
        <w:t>que de telles mesures provisionnelles sont prohibées par la jurisprudence de la chambre de céans (ATA/556/08 du 30 octobre 2008 ; ATA/374/2006 du 6 juillet 2006, et les références citées) ;</w:t>
      </w:r>
    </w:p>
    <w:p>
      <w:r>
        <w:t>- 5/5 - A/4374/2010 LA CHAMBRE ADMINISTRATIVE rejette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 Lironi, avocat du recourant, au Tribunal administratif de première instance ainsi qu'à l'office cantonal des automobiles et de la navigation et à l'office fédéral des routes à Berne.</w:t>
      </w:r>
    </w:p>
    <w:p>
      <w:r>
        <w:t>Le vice-président siégeant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