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ATA/227/2020 vom 24. Februar 2020</w:t>
      </w:r>
    </w:p>
    <w:p>
      <w:r>
        <w:t>GE Cour de justice, 2020-02-24, FR</w:t>
      </w:r>
    </w:p>
    <w:p>
      <w:r>
        <w:rPr>
          <w:b/>
        </w:rPr>
        <w:t xml:space="preserve">Quelle: </w:t>
      </w:r>
      <w:r>
        <w:t>https://mcp.opencaselaw.ch/entscheid/ge_gerichte_ATA_227_2020</w:t>
      </w:r>
    </w:p>
    <w:p>
      <w:r>
        <w:t>FR: GE_GERICHTE ATA/227/2020 du 24 février 2020</w:t>
      </w:r>
    </w:p>
    <w:p>
      <w:r>
        <w:t>IT: GE_GERICHTE ATA/227/2020 del 24 febbraio 2020</w:t>
      </w:r>
    </w:p>
    <w:p>
      <w:pPr>
        <w:pStyle w:val="Heading2"/>
      </w:pPr>
      <w:r>
        <w:t>Erwägungen</w:t>
      </w:r>
    </w:p>
    <w:p>
      <w:r>
        <w:rPr>
          <w:b/>
        </w:rPr>
        <w:t>E. 24</w:t>
      </w:r>
    </w:p>
    <w:p>
      <w:r>
        <w:t>février 1999 (RPAC - B 5 05.01) était simplement allégué par le recourant, sans être explicité. Le fait d’être absent de son lieu de travail sans produire de certificat médical constituait une violation des devoirs du fonctionnaire, et le département était fondé à supprimer le droit à l’indemnité du recourant dans cette situation.</w:t>
      </w:r>
    </w:p>
    <w:p>
      <w:r>
        <w:t>Les dispositions régissant un éventuel congé sans solde n’étaient pas remplies, l’intéressé n’ayant pas demandé à bénéficier d’un tel congé. 8)</w:t>
      </w:r>
    </w:p>
    <w:p>
      <w:r>
        <w:t>Par courrier du 17 février 2020, M. A______ a exercé son droit à la réplique, tant sur effet suspensif qu’au fond, en maintenant ses conclusions antérieures. La décision litigieuse a été rendue sans que le médecin-conseil de l’État ne soit à nouveau consulté et l’autorité passait sous silence le décès du thérapeute de l’intéressé. De plus, selon la jurisprudence, le salarié pouvait démontrer son incapacité de travail par d’autres moyens que la production d’un certificat médical.</w:t>
      </w:r>
    </w:p>
    <w:p>
      <w:r>
        <w:t>Sur quoi, la cause a été gardée à juger sur la question de l’effet suspensif, la suite de la procédure, au fond, devant être fixée ultérieurement. Considérant en droit :</w:t>
      </w:r>
    </w:p>
    <w:p>
      <w:r>
        <w:t>1)</w:t>
      </w:r>
    </w:p>
    <w:p>
      <w:r>
        <w:t>La question de la recevabilité du recours sera en l’état réservée, son examen étant reporté à l’arrêt au fond.</w:t>
      </w:r>
    </w:p>
    <w:p>
      <w:r>
        <w:t>2)</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w:t>
      </w:r>
    </w:p>
    <w:p>
      <w:r>
        <w:t>- 4/6 - A/3462/2019 de la partie dont les intérêts sont gravement menacés, retirer ou restituer l’effet suspensif (al. 3).</w:t>
      </w:r>
    </w:p>
    <w:p>
      <w:r>
        <w:t>3)</w:t>
      </w:r>
    </w:p>
    <w:p>
      <w:r>
        <w:t>Les décisions sur mesures provisionnelles sont prises par le président ou le vice-président de la chambre administrative ou, en cas d’empêchement de ceux-ci, par un autre juge (art. 21 al. 2 LPA et l'art. 9 al. 1 du règlement interne de la chambre administrative de la Cour de justice du 26 septembre 2017).</w:t>
      </w:r>
    </w:p>
    <w:p>
      <w:r>
        <w:t>4)</w:t>
      </w:r>
    </w:p>
    <w:p>
      <w:r>
        <w:t>Lorsque l'effet suspensif a été retiré,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(ATA/1705/2019 du 21 novembre 2019 et les références citées).</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5)</w:t>
      </w:r>
    </w:p>
    <w:p>
      <w:r>
        <w:t>En l’espèce, sur la base d’un examen prima facie du recours, les violations alléguées du droit d’être entendu ne peuvent pas être constatées d’emblée de manière indiscutable.</w:t>
      </w:r>
    </w:p>
    <w:p>
      <w:r>
        <w:t>L’intérêt privé du recourant à percevoir les indemnités auxquelles il conclut est à l’évidence important, et cela même s’il ne donne pas d’indication précise sur sa situation financière. Le fait pour le recourant de se voir priver de tout revenu ne peut effectivement qu’entraîner des difficultés que la chambre administrative n’entend pas contester.</w:t>
      </w:r>
    </w:p>
    <w:p>
      <w:r>
        <w:t>S’agissant ainsi d’intérêts en jeu de nature purement pécuniaire, rien ne permet de déroger à la jurisprudence constante de la chambre de céans selon laquelle l’intérêt privé du recourant à conserver ses revenus doit céder le pas à l’intérêt public à la préservation des finances de l’État (ATA/128/2020 du 6 février 2020 et les références citées). Il y a en effet une incertitude quant à la capacité de M. A______ à rembourser les montants perçus en cas de confirmation de la décision querellée alors que l’État de Genève serait à même de verser les montants dus en cas d’issue favorable du recours, cela même si la cause ne pouvait être tranchée rapidement.</w:t>
      </w:r>
    </w:p>
    <w:p>
      <w:r>
        <w:t>- 5/6 - A/3462/2019 6)</w:t>
      </w:r>
    </w:p>
    <w:p>
      <w:r>
        <w:t>Au vu de ce qui précède, la demande de restitution de l’effet suspensif au recours sera refusée, le sort des frais de la procédure étant réservé jusqu’à droit jugé au fond.</w:t>
      </w:r>
    </w:p>
    <w:p>
      <w:r>
        <w:t>* * * * * LA CHAMBRE ADMINISTRATIVE rejette la demande de restitution de l’effet suspensif au recours formé par Monsieur A______ contre la décision du département des infrastructures du 19 juillet 2019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qu'au département des infrastructures.</w:t>
      </w:r>
    </w:p>
    <w:p>
      <w:r>
        <w:t>La présidente :</w:t>
      </w:r>
    </w:p>
    <w:p>
      <w:r>
        <w:t>F. Payot Zen-Ruffinen</w:t>
      </w:r>
    </w:p>
    <w:p>
      <w:r>
        <w:t>- 6/6 - A/3462/2019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