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ATA/227/2017 vom 21. Februar 2017</w:t>
      </w:r>
    </w:p>
    <w:p>
      <w:r>
        <w:t>GE Cour de justice, 2017-02-21, FR</w:t>
      </w:r>
    </w:p>
    <w:p>
      <w:r>
        <w:rPr>
          <w:b/>
        </w:rPr>
        <w:t xml:space="preserve">Quelle: </w:t>
      </w:r>
      <w:r>
        <w:t>https://mcp.opencaselaw.ch/entscheid/ge_gerichte_ATA_227_2017</w:t>
      </w:r>
    </w:p>
    <w:p>
      <w:r>
        <w:t>FR: GE_GERICHTE ATA/227/2017 du 21 février 2017</w:t>
      </w:r>
    </w:p>
    <w:p>
      <w:r>
        <w:t>IT: GE_GERICHTE ATA/227/2017 del 21 febbraio 2017</w:t>
      </w:r>
    </w:p>
    <w:p>
      <w:pPr>
        <w:pStyle w:val="Heading2"/>
      </w:pPr>
      <w:r>
        <w:t>Regeste</w:t>
      </w:r>
    </w:p>
    <w:p>
      <w:r>
        <w:t>Résumé: Procédure en rappel et en soustraction d'impôts portant sur des prestations appréciables en argent. L'actionnaire/administrateur unique ainsi que son fils, louent à la contribuable par le biais de leur entreprise individuelle des actifs à des prix ne correspondant pas à ceux du marché. Examen des caractéristiques de l'échange réalisé qui ne sont pas celles d'un leasing comme l'a retenu à tort l'AFC.</w:t>
      </w:r>
    </w:p>
    <w:p>
      <w:pPr>
        <w:pStyle w:val="Heading2"/>
      </w:pPr>
      <w:r>
        <w:t>Erwägungen</w:t>
      </w:r>
    </w:p>
    <w:p>
      <w:r>
        <w:rPr>
          <w:b/>
        </w:rPr>
        <w:t>E. 12</w:t>
      </w:r>
    </w:p>
    <w:p>
      <w:r>
        <w:t>septembre 1985 - LPA - E 5 10). En particulier, le jugement du TAPI ayant été reçu le 4 janvier 2016 par l’AFC, comme en atteste l’accusé de réception envoyé au TAPI et qu’aucun élément concret ne permet de mettre en cause, le recours déposé le 3 février 2016 à la chambre de céans respecte le délai fixé. 2)</w:t>
      </w:r>
    </w:p>
    <w:p>
      <w:r>
        <w:t>Le litige concerne les périodes fiscales 2003 à 2005, 2007 et 2009 tant en matière d’ICC qu’en matière d’IFD. Il convient préalablement d’examiner le droit matériel applicable.</w:t>
      </w:r>
    </w:p>
    <w:p>
      <w:r>
        <w:t>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d’impôts relevant du droit matériel, le droit applicable obéit aux mêmes règles (arrêts du Tribunal fédéral 2C_663/2014 précité consid. 4 ; 2C_620/2012 du 14 février 2013 consid. 3.1 ; ATA/369/2015 du 21 avril 2015 ; ATA/307/2014 du 29 avril 2014).</w:t>
      </w:r>
    </w:p>
    <w:p>
      <w:r>
        <w:t>b. Le présent litige porte sur la procédure en rappel et en soustraction d’impôts ouverte en 2011 qui concerne les périodes fiscales 2003 à 2009. La cause est ainsi régie par le droit en vigueur durant cette période, à savoir respectivement les dispositions de la LIFD et celles de la loi cantonale sur l’imposition des personnes</w:t>
      </w:r>
    </w:p>
    <w:p>
      <w:r>
        <w:t>- 11/20 - A/2474/2014 morales du 23 septembre 1994 (LIPM - D 3 15), sous réserve de l’amende, pour laquelle le principe de la lex mitior s’applique. 3)</w:t>
      </w:r>
    </w:p>
    <w:p>
      <w:r>
        <w:t>Le rappel d’impôts n’est soumis qu’à des conditions objectives et implique qu’une taxation n’a, à tort, pas été établie ou est restée incomplète, de sorte que la collectivité publique a subi une perte fiscale.</w:t>
      </w:r>
    </w:p>
    <w:p>
      <w:r>
        <w:t>Il suppose un motif de rappel d’impôts, qui peut résider dans la découverte de faits ou de moyens de preuve qui ne ressortaient pas du dossier dont l’autorité disposait au moment de la taxation, une faute du contribuable n’étant pas exigée (arrêts du Tribunal fédéral 2C_1225/2012 du 7 juin 2013 consid. 3.1 ; 2C_724/2010 du 27 juillet 2011 consid. 8.1).</w:t>
      </w:r>
    </w:p>
    <w:p>
      <w:r>
        <w:t>Pour sa part, le contribuable doit remplir la formule de déclaration d’impôts de manière conforme à la vérité et complète et y joindre les annexes (art. 124 al. 2 LIFD ; art. 26 al. 2 LPFisc), soit en particulier, pour les personnes morales, les extraits de comptes signés de la période concernée (art. 125 al. 2 LIFD ; art. 29 al. 2 LPFisc). Il doit faire tout ce qui est nécessaire pour assurer une taxation complète et exacte et, à la demande de l’autorité de taxation, notamment fournir des renseignements oraux ou écrits, présenter ses livres comptables, les pièces justificatives et autres attestations ainsi que les pièces concernant ses relations d’affaires (art. 126 al. 1 et 2 LIFD ; art. 31 al. 1 et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t>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d’impôts font défaut (arrêt du Tribunal fédéral 2C_104/2008 du 20 juin 2009 consid. 3.3 ; Hugo CASANOVA, Le rappel d’impôts, RDAF 1999 II 3 p. 11). Dans tous les cas, la rupture du lien de causalité doit être soumise à des exigences sévères, à savoir une négligence grave de l’autorité fiscale (arrêts du Tribunal fédéral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w:t>
      </w:r>
    </w:p>
    <w:p>
      <w:r>
        <w:t>- 12/20 - A/2474/2014 2007 consid. 3.2.2). En effet, l’autorité fiscale peut en principe considérer que la déclaration d’impôts est conforme à la vérité et complète. Elle n’a pas l’obligation, en l’absence d’indice particulier, de se mettre à la recherche de renseignements supplémentaires. En particulier, il ne peut être exigé de l’autorité fiscale qu’elle confronte les déclarations remplies par les sociétés, traitées par un service, à celles remplies par un contribuable, personne physique, examinées par un autre de ses services (arrêt du Tribunal fédéral 2C_898/2015 et 2C_899/2015 du 12 octobre 2016 consid. 3.7 et les références citées ; ATA/369/2015 du 21 avril 2015 ; ATA/517/2014 du 1er juillet 2014).</w:t>
      </w:r>
    </w:p>
    <w:p>
      <w:r>
        <w:t>La découverte d’une mauvaise appréciation des preuves ou une mauvaise application du droit ne saurait toutefois donner lieu à un rappel d’impôts, tout comme celle d’une simple sous-évaluation des éléments imposables, pour laquelle les art. 151 al. 2 LIFD et 53 al. 1 LHID excluent explicitement l’adaptation ultérieure de la taxation (Hugo CASANOVA, op. cit., p. 12).</w:t>
      </w:r>
    </w:p>
    <w:p>
      <w:r>
        <w:t>En l’espèce, la procédure de rappel d’impôts et de soustraction a été motivée par la découverte par l’AFC, lors d’un contrôle effectué chez l’un des bailleurs, que la location d’actifs, qui apparaissait dans les déclarations de la contribuable, était effectuée auprès de l’entreprise individuelle de l’actionnaire et de celle de son fils. Ce lien ne figurait pas dans les déclarations de la contribuable. L’éventuelle surévaluation des charges en lien avec les relations existantes entre les bailleurs et la locataire ne pouvait donc être décelée par l’AFC sur la base des déclarations de la contribuable et ce n’est qu’à l’occasion du contrôle effectué en 2011 que l’AFC a eu connaissance de ces éléments.</w:t>
      </w:r>
    </w:p>
    <w:p>
      <w:r>
        <w:t>En conséquence, les conditions légales autorisant l’ouverture d’une procédure de rappel d’impôts sont réalisées. 4)</w:t>
      </w:r>
    </w:p>
    <w:p>
      <w:r>
        <w:t>Les reprises effectuées par l’AFC, entièrement contestées par la contribuable, portent sur la différence entre la charge que représente la location d’engins de chantier et d’installations par la contribuable et le montant fixé par l’AFC comme constituant le prix prévalant sur le marché pour des prestations équivalentes.</w:t>
      </w:r>
    </w:p>
    <w:p>
      <w:r>
        <w:t>a. Selon l’art. 57 de la loi fédérale sur l’impôt fédéral direct du 14 décembre 1990 (LIFD - RS 642.11), l’impôt sur le bénéfice a pour objet le bénéfice net.</w:t>
      </w:r>
    </w:p>
    <w:p>
      <w:r>
        <w:t>Le bénéfice net imposable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selon la typologie d’opérations comptables énoncées dans cette dernière disposition légale.</w:t>
      </w:r>
    </w:p>
    <w:p>
      <w:r>
        <w:t>- 13/20 - A/2474/2014</w:t>
      </w:r>
    </w:p>
    <w:p>
      <w:r>
        <w:t>b. Les cantons doivent imposer l’ensemble du bénéfice net dans lequel doivent notamment être inclus les produits et les bénéfices en capital, de liquidation et de réévaluation qui n’ont pas été portés au crédit du compte de résultats (art. 24 al. 1 let. b de la loi fédérale sur l’harmonisation des impôts directs des cantons et des communes du 14 décembre 1990 - LHID - RS 642.14).</w:t>
      </w:r>
    </w:p>
    <w:p>
      <w:r>
        <w:t>Dans le canton de Genève, en matière d’ICC, le 30 mars 2016 est entrée en vigueur la nouvelle teneur de l’art. 12 de la loi sur l’imposition des personnes morales du 23 septembre 1994 (LIPM - D 3 15) adoptée le 29 janvier 2016 par le Grand Conseil.</w:t>
      </w:r>
    </w:p>
    <w:p>
      <w:r>
        <w:t>La LIPM ne comprend aucune disposition transitoire prévoyant notamment l’application de la nouvelle teneur de l’art. 12 LIPM aux causes pendantes au moment de son entrée en vigueur. Il sera ainsi fait application des dispositions légales idoines dans leurs teneurs antérieures aux décisions de taxation en cause (ci-après : aLIPM) (ATA/778/2016 précité consid. 4c).</w:t>
      </w:r>
    </w:p>
    <w:p>
      <w:r>
        <w:t>Selon l'art. 12 let. a aLIPM, constitue le bénéfice net imposable celui qui résulte du compte de pertes et profits augmenté de certains prélèvement énoncés aux art. 12 let. b à i aLIPM, ainsi que des produits qui n’ont pas été comptabilisés dans le compte de résultats, y compris les bénéfices en capital, les bénéfices de réévaluation ou de liquidation, ainsi que les montants des réserves et provisions transférées à l’étranger qui avaient été constituées en franchises d’impôts (art. 12 let. j aLIPM). L’art. 12 aLIPM, même rédigé différemment, est de même portée que l’art. 58 al. 1 LIFD (ATA/869/2015 du 25 août 2015 ; ATA/337/2013 du 28 mai 2013 et les arrêts cités).</w:t>
      </w:r>
    </w:p>
    <w:p>
      <w:r>
        <w:t>c.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ATA/17/2016 du 12 janvier 2016).</w:t>
      </w:r>
    </w:p>
    <w:p>
      <w:r>
        <w:t>d.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w:t>
      </w:r>
    </w:p>
    <w:p>
      <w:r>
        <w:t>- 14/20 - A/2474/2014</w:t>
      </w:r>
    </w:p>
    <w:p>
      <w:r>
        <w:t>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 du Tribunal fédéral 2C_898/2015 et C_899/2015 précités consid. 3.3 et les références citées).</w:t>
      </w:r>
    </w:p>
    <w:p>
      <w:r>
        <w:t>e.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Xavier OBERSON, Droit fiscal suisse, 4ème éd., 2012, p. 236).</w:t>
      </w:r>
    </w:p>
    <w:p>
      <w:r>
        <w:t>f.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ATA/652/2016 du 26 juillet 2016). 5)</w:t>
      </w:r>
    </w:p>
    <w:p>
      <w:r>
        <w:t>En l’espèce, la contribuable a fourni des listes de prix de location des actifs concernés pour établir le caractère de charge justifiée par l’usage commercial. Ce tableau indique le nombre total d’engins, leur type ainsi que le tarif de location par mois sur la base d’une liste des prix de 2010. Il en résulte un prix de location plus élevé que les sommes payées et a fortiori que celles retenues par l’AFC.</w:t>
      </w:r>
    </w:p>
    <w:p>
      <w:r>
        <w:t>À ces calculs, l’AFC a opposé des montants fixés en se fondant sur la valeur d’achat et des contrats de leasing avec des durées limitées à cinq ans, qui s’apparenteraient au type de location réalisée, dans la mesure où le matériel est entretenu et assuré par la locataire.</w:t>
      </w:r>
    </w:p>
    <w:p>
      <w:r>
        <w:t>- 15/20 - A/2474/2014</w:t>
      </w:r>
    </w:p>
    <w:p>
      <w:r>
        <w:t>Il apparaît évident que les prix avancés par la contribuable sont trop élevés en raison d’une part, de l’inclusion dans les prix de location d’éléments qui ne pouvaient lui être facturés, soit l’entretien notamment et d’autre part, en raison des périodes concernées pour lesquelles les prix de 2010 ne s’avèrent pas applicables.</w:t>
      </w:r>
    </w:p>
    <w:p>
      <w:r>
        <w:t>Le principe de l’existence d’une prestation appréciable en argent doit donc être admis. 6)</w:t>
      </w:r>
    </w:p>
    <w:p>
      <w:r>
        <w:t>Quant aux montants qui constituent cette prestation, il faut admettre que la solution retenue par l’AFC ne prend en compte aucun prix de location pour la période de mise à disposition des actifs après cinq ans, ni leur remplacement par des engins neufs aux conditions du leasing, ce qui ne correspond pas à l’échange tel qu’il a été réalisé, ni aux prix de pleine concurrence pour un échange similaire.</w:t>
      </w:r>
    </w:p>
    <w:p>
      <w:r>
        <w:t>Les corrections qui doivent être apportées par l’AFC aux montants déclarés par la contribuable, s’agissant de la location des engins, doivent donc tenir compte d’une part de prix de location usuels, déduction faite des charges prises en compte par la contribuable, et de la durée de location dépassant les années d’amortissement de leur valeur initiale.</w:t>
      </w:r>
    </w:p>
    <w:p>
      <w:r>
        <w:t>Quant à l’argument de l’AFC, selon lequel la prise en compte d’une durée plus longue du contrat de leasing entraînerait une augmentation des reprises, il ne peut être retenu dans la mesure où la cause est renvoyée pour nouveau calcul en prenant en compte non pas l’équivalent d’un contrat de leasing mais une location dont les charges sont assumées par le locataire pour la durée effective de mise à disposition de véhicules. Rien n’indique que les montants ainsi calculés pour l’ensemble des actifs, seront inférieurs à ceux retenus par l’AFC dans ses décisions sur réclamation.</w:t>
      </w:r>
    </w:p>
    <w:p>
      <w:r>
        <w:t>Il découle de ce qui précède, qu’en l’espèce, le raisonnement appliqué par le TAPI dans son jugement ne peut qu’être confirmé et les griefs de la contribuable et de l’AFC écartés. 7)</w:t>
      </w:r>
    </w:p>
    <w:p>
      <w:r>
        <w:t>La contribuable conteste également l’amende infligée en invoquant une dénonciation spontanée.</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d’impôts, il est renoncé à la poursuite pénale (dénonciation spontanée non punissable), à condition qu’aucune autorité fiscale n’en ait connaissance, qu’il</w:t>
      </w:r>
    </w:p>
    <w:p>
      <w:r>
        <w:t>- 16/20 - A/2474/2014 collabore sans réserve avec l’administration pour déterminer le montant du rappel d’impôts, qu’il s’efforce d’acquitter le rappel d’impôts dû (al. 3). Pour toute dénonciation spontanée ultérieure, l’amende est réduite au cinquième de l’impôt soustrait si les conditions prévues à l’al. 3 sont remplies (al. 4). Les art. 56 al. 1 LHID et 69 LPFisc prévoient une réglementation similaire.</w:t>
      </w:r>
    </w:p>
    <w:p>
      <w:r>
        <w:t>Lorsque des obligations de procédure ont été violées ou qu’une soustraction ou une tentative de soustraction d’impôts a été commise au profit d’une personne morale, celle-ci est punie d’une amende (art. 181 al. 1 LIFD ; art. 74 al. 1 LPFisc). La dénonciation spontanée non punissable doit être déposée par les organes ou les représentants de la personne morale. La responsabilité solidaire de ces organes ou de ces représentants est supprimée et il est renoncé à la poursuite pénale (art. 181a al. 3 LIFD et 74A LPFisc).</w:t>
      </w:r>
    </w:p>
    <w:p>
      <w:r>
        <w:t>b. La soustraction est punissable aussi bien intentionnellement que par négligence (ATA/1019/2015 du 29 septembre 2015 ; ATA/724/2015 du 14 juillet 2015). En particulier,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ATA/1019/2015 précité ; ATA/724/2015 précité). La négligence implique de porter un jugement sur le comportement de l’auteur, en se demandant ce qu’il aurait pu et dû faire, et non de rechercher ce qu’il avait à l’esprit (ATA/724/2015 précité).</w:t>
      </w:r>
    </w:p>
    <w:p>
      <w:r>
        <w:t>c. Lorsque le délit est commis par une personne morale, le comportement de ses organes lui est imputable pour examiner les éléments subjectifs de l'infraction (ATF 135 II 86 consid. 4.2).</w:t>
      </w:r>
    </w:p>
    <w:p>
      <w:r>
        <w:t>d. Dans la mesure où elles respectent le cadre légal, les autorités fiscales cantonales disposent d’un large pouvoir d’appréciation lors de la fixation de l’amende (ATF 114 Ib 27 consid. 4a ; arrêts du Tribunal fédéral 2C_1007/2012 du</w:t>
      </w:r>
    </w:p>
    <w:p>
      <w:r>
        <w:rPr>
          <w:b/>
        </w:rPr>
        <w:t>E. 15</w:t>
      </w:r>
    </w:p>
    <w:p>
      <w:r>
        <w:t>mars 2013 consid. 5.2 ; 2C_480/2009 du 16 mars 2010 consid. 6.2), l’autorité de recours ne censurant que son abus (ATA/765/2015 précité ; ATA/42/2011 du 25 janvier 2011).</w:t>
      </w:r>
    </w:p>
    <w:p>
      <w:r>
        <w:t>e. Selon la doctrine et la jurisprudence, la notion de dénonciation suppose que le contribuable annonce de lui-même son infraction à l’autorité fiscale, alors que celle-ci n’en a encore pas eu connaissance d’une autre manière (arrêts du Tribunal</w:t>
      </w:r>
    </w:p>
    <w:p>
      <w:r>
        <w:t>- 17/20 - A/2474/2014 fédéral 2C_476/2014 du 21 novembre 2014 consid. 9.1 ; 2C_480/2009 précité consid. 6.1). Quant au caractère spontané, il fait défaut lorsque la déclaration intervient alors que les autorités fiscales sont déjà en train d’enquêter sur le dossier du contribuable (Danielle YERSIN/Yves NOËL [éd.], Impôt fédéral direct, Commentaire de la loi sur l’impôt fédéral direct, 2008, n. 49 ad art. 175). Il ne peut en d’autres termes être renoncé à la poursuite pénale que si les autorités fiscales ignorent tout de la soustraction au moment de la dénonciation spontanée (Message concernant la loi fédérale sur la simplification du rappel d’impôts en cas de succession et sur l’introduction de la dénonciation spontanée non punissable du</w:t>
      </w:r>
    </w:p>
    <w:p>
      <w:r>
        <w:rPr>
          <w:b/>
        </w:rPr>
        <w:t>E. 18</w:t>
      </w:r>
    </w:p>
    <w:p>
      <w:r>
        <w:t>octobre 2006, FF 2006 8347, p. 8370). La déclaration spontanée de l’art. 175 al. 3 LIFD conduisant à l’impunité, un parallèle peut être dressé avec la déclaration spontanée prévue à l’art. 13 de la loi fédérale sur le droit pénal administratif du 22 mars 1974 (DPA - RS 313.0 ; arrêt du Tribunal fédéral 2C_188/2009 du 7 juillet 2009 consid. 2.6), la pratique ayant déduit qu’elle n’était réalisée que lorsque l’auteur se dénonce spontanément, de son propre mouvement, dans un esprit de repentir (ATF 119 IV 220 consid. 4).</w:t>
      </w:r>
    </w:p>
    <w:p>
      <w:r>
        <w:t>En l’espèce, ce n’est que lors d’un contrôle de l’AFC concernant son entreprise que le fils de l’administrateur et actionnaire unique de la contribuable a exposé les relations juridiques et financières entre son entreprise individuelle, celle de son père et les sociétés (la contribuable et C______ SA), ces éléments ne ressortant pas des déclarations de la contribuable. Il ne s’agit dès lors pas d’une dénonciation spontanée non punissable au sens défini ci-dessus et le grief de la contribuable sera écarté. 8)</w:t>
      </w:r>
    </w:p>
    <w:p>
      <w:r>
        <w:t>Selon les contribuables, s’agissant du montant de l’amende, le fait qu’elle dépassait ses fonds propres n’aurait pas été pris en compte.</w:t>
      </w:r>
    </w:p>
    <w:p>
      <w:r>
        <w:t>a.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(ATA/513/2016 précité consid. 10).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(art. 175 al. 2 LIFD et 69 al. 2 LPFisc ; arrêt du Tribunal fédéral 2C_480/2009 précité consid. 6.2).</w:t>
      </w:r>
    </w:p>
    <w:p>
      <w:r>
        <w:t>b.</w:t>
      </w:r>
    </w:p>
    <w:p>
      <w:r>
        <w:t>En l’espèce, il a été retenu par le TAPI que l’organe de la contribuable qui était également l’un des bailleurs des engins louée, ne pouvait ignorer que les prix de location ne correspondaient pas à ceux du marché et qu’il avait donc agi intentionnellement. En effet, le système de facturation adopté, soit le paiement</w:t>
      </w:r>
    </w:p>
    <w:p>
      <w:r>
        <w:t>- 18/20 - A/2474/2014 d’avances forfaitaires pendant l’année et celui d’un solde en fin d’année, l’absence de contrat écrit, de liste de prix de location ou encore l’absence d’indication sur la durée des diverses locations, indiquent que l’adéquation avec les prix du marché ne pouvait être faite. Comme circonstance aggravante, il a été retenu que la contribuable bénéficiait des conseils d’un bureau fiduciaire pour l’établissement de sa comptabilité et de sa déclaration d’impôts ainsi que le caractère répétitif de la soustraction.</w:t>
      </w:r>
    </w:p>
    <w:p>
      <w:r>
        <w:t>L’AFC a néanmoins pris en compte la bonne collaboration de la contribuable au cours de la procédure de rappel.</w:t>
      </w:r>
    </w:p>
    <w:p>
      <w:r>
        <w:t>Il apparaît dès lors que la situation financière de la contribuable résulte entièrement des choix faits sciemment par son administrateur/actionnaire unique qui voulait notamment mettre à l’abri des effets d’une faillite éventuelle les différents actifs détenus par l’entreprise individuelle. Les fonds propres diminués qui résultent de ces choix ne peuvent dès lors être invoqués pour contester la quotité de l’amende.</w:t>
      </w:r>
    </w:p>
    <w:p>
      <w:r>
        <w:t>En outre, le Tribunal fédéral a déjà jugé qu’en matière de soustraction d’impôts, les effets économiques constituaient des effets indirects de l’infraction commise et ne permettait pas de renoncer à une peine sur la base de l’art. 54 CP qui prévoit que, si l'auteur a été directement atteint par les conséquences de son acte au point qu'une peine serait inappropriée, l'autorité compétente renonce à le poursuivre, à le renvoyer devant le juge ou à lui infliger une peine (arrêt du Tribunal fédéral 2C_508/2014 et 2C_509/2014 du 20 février 2015 consid. 7).</w:t>
      </w:r>
    </w:p>
    <w:p>
      <w:r>
        <w:t>En conséquence, la fixation d’une amende de ½ de l’impôt soustrait apparaît conforme aux principes développés ci-dessus et proportionnée à la faute commise et aux circonstances du cas d’espèce.</w:t>
      </w:r>
    </w:p>
    <w:p>
      <w:r>
        <w:t>Le grief de la contribuable sera écarté. 9)</w:t>
      </w:r>
    </w:p>
    <w:p>
      <w:r>
        <w:t>En tous points infondés, les recours seront rejetés.</w:t>
      </w:r>
    </w:p>
    <w:p>
      <w:r>
        <w:t>Vu l’issue du litige, un émolument de CHF 1'000.- sera mis à la charge de la contribuable recourante (art. 87 al. 1 LPA) et il ne lui sera alloué aucune indemnité de procédure (art. 87 al. 2 LPA). Aucun émolument ne sera mis à la charge de l’AFC et aucune indemnité de procédure ne lui sera allouée (art. 12 al. 2 du règlement sur les frais, émoluments et indemnités en procédure administrative du 30 juillet 1986 - RFPA - E 5 10.03 ; art. 87 al. 2 LPA). * * * * *</w:t>
      </w:r>
    </w:p>
    <w:p>
      <w:r>
        <w:t>- 19/20 - A/2474/2014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