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ATA/227/2015 vom 2. März 2015</w:t>
      </w:r>
    </w:p>
    <w:p>
      <w:r>
        <w:t>GE Cour de justice, 2015-03-02, FR</w:t>
      </w:r>
    </w:p>
    <w:p>
      <w:r>
        <w:rPr>
          <w:b/>
        </w:rPr>
        <w:t xml:space="preserve">Quelle: </w:t>
      </w:r>
      <w:r>
        <w:t>https://mcp.opencaselaw.ch/entscheid/ge_gerichte_ATA_227_2015</w:t>
      </w:r>
    </w:p>
    <w:p>
      <w:r>
        <w:t>FR: GE_GERICHTE ATA/227/2015 du 2 mars 2015</w:t>
      </w:r>
    </w:p>
    <w:p>
      <w:r>
        <w:t>IT: GE_GERICHTE ATA/227/2015 del 2 marzo 2015</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23 février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- 7/11 - A/408/2015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 a. L’étranger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75 al. 1 let. g et 76 al. 1 let. b ch. 1 LEtr).</w:t>
      </w:r>
    </w:p>
    <w:p>
      <w:r>
        <w:t>Un étranger menace sérieusement d’autres personnes ou met gravement en danger leur vie ou leur intégrité corporelle au sens de l’art. 75 al. 1 let. g LEtr notamment s’il commet des infractions à la LStup (arrêts 2A.35/2000 du 10 février 2000 consid. 2b/aa ; 2A.450/1995 du 3 novembre 1995 consid. 5a), en particulier le trafic de drogues dures (ATF 125 II 369 consid. 3b/bb p. 375 ; Nicolas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2A.35/2000 consid. 2b/bb et 2A.450/1995 consid. 5a précités).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2A.480/2003 du 26 août 2004 consid. 3.1 et les nombreuses références citées).</w:t>
      </w:r>
    </w:p>
    <w:p>
      <w:r>
        <w:t>b. 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t>- 8/11 - A/408/2015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c.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l'exécution du renvoi n’est pas possible lorsque l’étranger ne peut pas quitter la Suisse pour son État d’origine, son État de provenance ou un État tiers, ni être renvoyé dans un de ces États (art. 83 al. 2 LEtr), soit lorsque le refoulement se heurte à des obstacles objectifs et durables d'ordre technique (arrêt du TAF C-4183/2011 du 16 janvier 2012 consid. 3.5).</w:t>
      </w:r>
    </w:p>
    <w:p>
      <w:r>
        <w:t>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w:t>
      </w:r>
    </w:p>
    <w:p>
      <w:r>
        <w:t>d.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w:t>
      </w:r>
    </w:p>
    <w:p>
      <w:r>
        <w:t>- 9/11 - A/408/2015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 ATA/581/2011 du 7 septembre 2011).</w:t>
      </w:r>
    </w:p>
    <w:p>
      <w:r>
        <w:t>L'autorité cantonale compétente peut enjoindre à un étranger frappé d'une décision de renvoi entrée en force de ne pas quitter le territoire qui lui est assigné lorsque des éléments concrets font redouter qu'il ne quittera pas la Suisse dans le délai prescrit ou qu'il n'a pas respecté le délai qui lui a été imparti (art. 74 al. 1 let. b LEtr). 6)</w:t>
      </w:r>
    </w:p>
    <w:p>
      <w:r>
        <w:t>En l’espèce, le recourant fait l’objet d’une décision fédérale de renvoi de Suisse, définitive et exécutoire. La gravité des infractions à la LStup pour lesquelles il a été condamné doit manifestement être relativisée, au vu de la quantité de stupéfiants concernée, soit moins d’un gramme de cocaïne et cinq grammes de marijuana, étant relevé que depuis le 1er octobre 2013, dix grammes de stupéfiants ayant des effets de type cannabinique sont considérés comme une quantité minime (art. 19b al. 2 LFstup) et que dix-huit mois séparent les deux infractions.</w:t>
      </w:r>
    </w:p>
    <w:p>
      <w:r>
        <w:t>Concernant le risque de fuite et de disparition, il est établi et non contesté que M. A______ ne s’est pas présenté aux autorités lorsqu’une place lui avait été réservée dans un avion à destination de son pays d’origine, en septembre 2013. Cette volonté de se soustraire au renvoi doit toutefois être relativisée par les graves problèmes médicaux qu’il a rencontrés depuis lors, dès lors qu’un suivi médical serré est maintenant nécessaire.</w:t>
      </w:r>
    </w:p>
    <w:p>
      <w:r>
        <w:t>Il ressort de plus, en particulier du dernier certificat médical produit, que si un retour au Nigéria n’apparaît en l’état ni exclu ni impossible, la disponibilité des médicaments nécessaires au Nigéria, cas échéant l’adaptation des traitements prescrits à M. A______ afin qu’il puisse les suivre dans son pays d’origine, ne sont pas établis ou documentés dans le dossier en main de la chambre administrative.</w:t>
      </w:r>
    </w:p>
    <w:p>
      <w:r>
        <w:t>Au vu de l’ensemble des éléments relevés ci-dessus, il apparaît que la mise en détention administrative du recourant ne respecte pas le principe de la proportionnalité, dans la mesure où une mesure moins incisive, telle qu’une assignation à résidence dans un lieu qu’il appartiendra à l’autorité de déterminer, cas échant liée à une obligation de se présenter à l’OCPM ou dans un poste de police à une fréquence adéquate, pourrait être prononcée. 7)</w:t>
      </w:r>
    </w:p>
    <w:p>
      <w:r>
        <w:t>Au vu de ce qui précède, le recours sera admis et, tant le jugement du TAPI du 12 février 2015 que l’ordre de mise en détention administrative du 8 février 2015, seront annulés et la mise en liberté de M. A______ sera ordonnée. La cause</w:t>
      </w:r>
    </w:p>
    <w:p>
      <w:r>
        <w:t>- 10/11 - A/408/2015 sera retournée à l’officier de police afin que ce dernier prononce une autre mesure moins incisive, dont il lui appartiendra de fixer les modalités.</w:t>
      </w:r>
    </w:p>
    <w:p>
      <w:r>
        <w:t>Le prononcé du présent arrêt rend la demande de mesures provisionnelles et de restitution de l’effet suspensif sans objet. 8)</w:t>
      </w:r>
    </w:p>
    <w:p>
      <w:r>
        <w:t>Vu la nature du litige, il ne sera pas perçu d’émolument (art. 12 du règlement sur les frais, émoluments et indemnités en procédure administrative du 30 juillet 1986 - RFPA - E 5 10.03).</w:t>
      </w:r>
    </w:p>
    <w:p>
      <w:r>
        <w:t>Vu l’issue du litige, une indemnité de procédure de CHF 1'000.- sera allouée au recourant, à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