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ATA/226/2025 vom 4. März 2025</w:t>
      </w:r>
    </w:p>
    <w:p>
      <w:r>
        <w:t>GE Cour de justice, 2025-03-04, FR</w:t>
      </w:r>
    </w:p>
    <w:p>
      <w:r>
        <w:rPr>
          <w:b/>
        </w:rPr>
        <w:t xml:space="preserve">Quelle: </w:t>
      </w:r>
      <w:r>
        <w:t>https://mcp.opencaselaw.ch/entscheid/ge_gerichte_ATA_226_2025</w:t>
      </w:r>
    </w:p>
    <w:p>
      <w:r>
        <w:t>FR: GE_GERICHTE ATA/226/2025 du 4 mars 2025</w:t>
      </w:r>
    </w:p>
    <w:p>
      <w:r>
        <w:t>IT: GE_GERICHTE ATA/226/2025 del 4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refus de l’OCLPF d’entrer en matière sur la demande de reconsidération des recourants.</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(ATA/512/2024 du 23 avril 2024 consid 3.2 ; ATA/651/2023 précité consid. 4.1 in fine).</w:t>
      </w:r>
    </w:p>
    <w:p>
      <w:r>
        <w:rPr>
          <w:b/>
        </w:rPr>
        <w:t>E. 2.2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w:t>
      </w:r>
    </w:p>
    <w:p>
      <w:r>
        <w:t>- 4/6 - A/3816/2024 procédure (ATF 111 Ib 211 ; Thierry TANQUEREL, Manuel de droit administratif, 2e éd., 2018, n. 1417).</w:t>
      </w:r>
    </w:p>
    <w:p>
      <w:r>
        <w:rPr>
          <w:b/>
        </w:rPr>
        <w:t>E. 2.3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2C_517/2023 du 15 décembre 2023 consid. 3.3. ; 2C_319/2015 du 10 septembre 2015 consid. 3 ; 2C_406/2013 du 23 septembre 2013 consid. 4.1).</w:t>
      </w:r>
    </w:p>
    <w:p>
      <w:r>
        <w:rPr>
          <w:b/>
        </w:rPr>
        <w:t>E. 2.4</w:t>
      </w:r>
    </w:p>
    <w:p>
      <w:r>
        <w:t>En l’espèce, l’OCLPF avait, en juin 2023, octroyé aux recourants une aide au logement, qui se fondait sur les éléments déclarés par ceux-ci. Il n’est pas contesté qu’ils ont tu à cette autorité que le logement qu’ils occupaient accueillait également les parents et le frère du recourant. Or, si, se conformant à leur obligation d’informer immédiatement l’OCLPF de tout changement dans la composition du groupe de personnes occupant les lieux, les recourants avaient signalé la présence depuis le 16 mai 2023 de trois autres adultes, dont le père du recourant, ils auraient également dû renseigner cette autorité sur les revenus réalisés par chacune de ces trois personnes, en produisant leur avis de taxation 2022 respectif. La décision d’octroi de prestations rendue en juin 2023 aurait ainsi, en particulier, intégré les revenus du père du recourant tels qu’ils ressortaient du dernier avis de taxation, à savoir celui de 2022. Au moment où l’OCLPF est revenu sur sa décision d’octroi de la subvention personnalisée, en mars 2024, il devait donc se fonder sur les éléments tels qu’ils auraient dû être en sa possession en juin 2023. Or, en juin 2023, seule la taxation 2022 de C______ était disponible. Ni celle relative à l’année 2023 ni d’ailleurs le bilan 2003 relatif à l’activité du père du recourant n’existait. Ainsi, l’établissement subséquent du bilan pour l’année 2023 n’était pas de nature à influer sur la décision de juin 2023. Par ailleurs, la décision de restitution rendue en mars 2024 était fondée sur la violation par les recourants de leur obligation d’informer l’OCLPF du fait que leur logement accueillait trois personnes de plus qu’indiqué dans leur demande de subvention. Les recourants n’apportent aucun élément nouveau justifiant de revenir sur ce constat. Au vu de ce qui précède, l’autorité a, sans violé la loi ni commettre d’abus de son pouvoir d’appréciation, retenu qu’aucun motif ne permettait d’entrer en matière sur la demande de reconsidérer la décision du 4 mars 2024.</w:t>
      </w:r>
    </w:p>
    <w:p>
      <w:r>
        <w:t>- 5/6 - A/3816/2024 Mal fondé, le recours sera ainsi rejeté.</w:t>
      </w:r>
    </w:p>
    <w:p>
      <w:r>
        <w:rPr>
          <w:b/>
        </w:rPr>
        <w:t>E. 3</w:t>
      </w:r>
    </w:p>
    <w:p>
      <w:r>
        <w:t>Au vu de l’issue du litige, un émolument de CHF 300.- sera mis à la charge solidaire des recourants,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