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ATA/224/2011 vom 5. April 2011</w:t>
      </w:r>
    </w:p>
    <w:p>
      <w:r>
        <w:t>GE Cour de justice, 2011-04-05, FR</w:t>
      </w:r>
    </w:p>
    <w:p>
      <w:r>
        <w:rPr>
          <w:b/>
        </w:rPr>
        <w:t xml:space="preserve">Quelle: </w:t>
      </w:r>
      <w:r>
        <w:t>https://mcp.opencaselaw.ch/entscheid/ge_gerichte_ATA_224_2011</w:t>
      </w:r>
    </w:p>
    <w:p>
      <w:r>
        <w:t>FR: GE_GERICHTE ATA/224/2011 du 5 avril 2011</w:t>
      </w:r>
    </w:p>
    <w:p>
      <w:r>
        <w:t>IT: GE_GERICHTE ATA/224/2011 del 5 aprile 2011</w:t>
      </w:r>
    </w:p>
    <w:p>
      <w:pPr>
        <w:pStyle w:val="Heading2"/>
      </w:pPr>
      <w:r>
        <w:t>Regeste</w:t>
      </w:r>
    </w:p>
    <w:p>
      <w:r>
        <w:t>Résumé: Irrecevabilité d'une demande en révision interjetée à l'encontre d'un arrêt du Tribunal administratif entré en force de chose jugée, car aucun fait nouveau n'a été allégué à l'appui de ladite demande.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Depuis le 1er janvier 2011, suite à l’entrée en vigueur de la nouvelle loi sur l’organisation judiciaire du 26 septembre 2010 (LOJ - E 2 05), l’ensemble des compétences jusqu’alors dévolues au Tribunal administratif a échu à la chambre administrative, qui devient autorité supérieure ordinaire de recours en matière administrative (art. 131 et 132 LOJ).</w:t>
      </w:r>
    </w:p>
    <w:p>
      <w:r>
        <w:t>Cette dernière est ainsi compétente pour statuer.</w:t>
      </w:r>
    </w:p>
    <w:p>
      <w:r>
        <w:rPr>
          <w:b/>
        </w:rPr>
        <w:t>E. 2</w:t>
      </w:r>
    </w:p>
    <w:p>
      <w:r>
        <w:t>M. K______ souhaite être entendu par la chambre administrative.</w:t>
      </w:r>
    </w:p>
    <w:p>
      <w:r>
        <w:t>a. Tel qu’il est garanti par l’art. 29 al. 2 de la Constitution fédérale de la Confédération suisse du 18 avril 1999 (Cst. - RS 101), le droit d’être entendu comprend notamment le droit pour l’intéressé d’offrir des preuves pertinentes, de prendre connaissance du dossier, d’obtenir qu’il soit donné suite à ses offres de preuves pertinentes, de participer à l’administration des preuves essentielles ou à tout le moins de s’exprimer sur son résultat, lorsque cela est de nature à influer sur la décision à rendre (ATF 132 II 485 consid. 3.2 p. 494 ; 127 I 54 consid. 2b p. 56 ; 127 III 576 consid. 2c p. 578 ; Arrêt du Tribunal fédéral 1C.424/2009 du</w:t>
      </w:r>
    </w:p>
    <w:p>
      <w:r>
        <w:rPr>
          <w:b/>
        </w:rPr>
        <w:t>E. 6</w:t>
      </w:r>
    </w:p>
    <w:p>
      <w:r>
        <w:t>En matière d’assistance publique, il n’est pas perçu d’émolument (art. 87 LPA ; art. 10 du règlement sur les frais, émoluments et indemnités en procédure administrative du 30 juillet 1986 - RFPA - E 5 10.03).</w:t>
      </w:r>
    </w:p>
    <w:p>
      <w:r>
        <w:t>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