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ATA/224/2010 vom 21. April 2009</w:t>
      </w:r>
    </w:p>
    <w:p>
      <w:r>
        <w:t>GE Cour de justice, 2009-04-21, FR</w:t>
      </w:r>
    </w:p>
    <w:p>
      <w:r>
        <w:rPr>
          <w:b/>
        </w:rPr>
        <w:t xml:space="preserve">Quelle: </w:t>
      </w:r>
      <w:r>
        <w:t>https://mcp.opencaselaw.ch/entscheid/ge_gerichte_ATA_224_2010</w:t>
      </w:r>
    </w:p>
    <w:p>
      <w:r>
        <w:t>FR: GE_GERICHTE ATA/224/2010 du 21 avril 2009</w:t>
      </w:r>
    </w:p>
    <w:p>
      <w:r>
        <w:t>IT: GE_GERICHTE ATA/224/2010 del 21 aprile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Depuis le 1er janvier 2009, la CCRA connaît des recours dirigés contre des décisions de l'OCP relatives au statut d'étrangers dans le canton de Genève (art. 56X al. 2 et 56Y LOJ ; art. 3 de la loi d'application de la loi fédérale sur les étrangers du 16 juin 1988 - LaLEtr - F 2 10). Elle a repris le contentieux pendant devant la commission cantonale de recours de police des étrangers, compétent jusqu'à cette date.</w:t>
      </w:r>
    </w:p>
    <w:p>
      <w:r>
        <w:rPr>
          <w:b/>
        </w:rPr>
        <w:t>E. 3</w:t>
      </w:r>
    </w:p>
    <w:p>
      <w:r>
        <w:t>Aux termes de l'art. 48 LPA, une autorité administrative n'a l'obligation de reconsidérer ses décisions que lorsqu'il existe un motif de révision au sens de l'art. 80 let. a et b LPA ou que les circonstances se sont modifiées dans une mesure notable depuis la première décision. Selon la doctrine, les décisions dotées de l’autorité de la chose jugée ou décidée peuvent faire l’objet d’une demande de réexamen par l’autorité administrative qui a pris la décision de base, ou d’une procédure de révision devant une autorité administrative supérieure, une instance</w:t>
      </w:r>
    </w:p>
    <w:p>
      <w:r>
        <w:t>- 5/8 - A/419/2009 quasi judiciaire ou un tribunal, selon que leur auteur est une autorité ou un tribunal (B. KNAPP, Précis de droit administratif, 4e éd., Bâle 1991, n° 1137).</w:t>
      </w:r>
    </w:p>
    <w:p>
      <w:r>
        <w:rPr>
          <w:b/>
        </w:rPr>
        <w:t>E. 4</w:t>
      </w:r>
    </w:p>
    <w:p>
      <w:r>
        <w:t>Dans une procédure administrative, les courriers qu'un particulier adresse aux autorités doivent être interprétés selon le principe de la confiance, c'est-à-dire d'après le sens qui peut et doit leur être donné de bonne foi, d'après le texte et leur contexte, ainsi que d'après toutes les circonstances qui les ont précédées ou accompagnées (ATF 126 II 119 consid. 2a p.120 ; 125 III 435 consid. 2a/aa p. 436 ; Arrêts du Tribunal fédéral 2P.188/2002 du 5 septembre 2002 et 1P.440/2001 du 24 janvier 2002 consid. 5).</w:t>
      </w:r>
    </w:p>
    <w:p>
      <w:r>
        <w:t>En l'occurrence le recourant, par l'intermédiaire du syndicat UNIA, s'est adressé à l'OCP par acte du 10 décembre 2008.</w:t>
      </w:r>
    </w:p>
    <w:p>
      <w:r>
        <w:t>Cette brève écriture reprend les éléments principaux du dossier, sans apporter d'éléments nouveaux. M. A______ conclut à ce que la décision initiale soit revue et qu'un permis de séjour lui soit accordé. Les motifs contenus dans cet acte sont ceux d'un recours, à savoir un exposé des raisons pour lesquelles l'intéressé s'oppose à un refus d'autorisation de séjour et les prétentions qu'il entend faire valoir, soit l'obtention d'un permis de séjour. L'absence de toutes références juridiques démontre que son auteur n'est pas un spécialiste du domaine. Cette lettre fait suite à la décision du 21 novembre 2008 de l'OCP et a été adressée à cette autorité dans le délai de recours. Enfin, l'intention de M. A______ de former recours contre la décision du 21 novembre ressort tant du pli adressé à la CCRA par l'avocat du recourant, le 5 février 2009, que des déclarations du recourant lors de l'audience de comparution personnelle.</w:t>
      </w:r>
    </w:p>
    <w:p>
      <w:r>
        <w:t>Ainsi, au vu de l'ensemble de ces éléments, le courrier du 10 décembre 2010 aurait dû être interprété comme un acte de recours et transmis comme tel à la CCRA comme objet de sa compétence (ATA/108/2010 du 6 février 2010).</w:t>
      </w:r>
    </w:p>
    <w:p>
      <w:r>
        <w:rPr>
          <w:b/>
        </w:rPr>
        <w:t>E. 5</w:t>
      </w:r>
    </w:p>
    <w:p>
      <w:r>
        <w:t>Compte tenu de ce qui précède, le recours sera partiellement admis. La décision de la CCRA annulée et la procédure lui sera retournée, comme objet de sa compétence, pour qu'elle statue sur le recours de M. A______ du 10 décembre 2008.</w:t>
      </w:r>
    </w:p>
    <w:p>
      <w:r>
        <w:t>Vu l'issue du litige, aucun émolument ne sera mis à charge du recourant et aucune indemnité de procédure ne lui sera accordée (art. 87 LPA). * * * * *</w:t>
      </w:r>
    </w:p>
    <w:p>
      <w:r>
        <w:t>- 6/8 - A/419/2009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