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ATA/222/2025 vom 4. März 2025</w:t>
      </w:r>
    </w:p>
    <w:p>
      <w:r>
        <w:t>GE Cour de justice, 2025-03-04, FR</w:t>
      </w:r>
    </w:p>
    <w:p>
      <w:r>
        <w:rPr>
          <w:b/>
        </w:rPr>
        <w:t xml:space="preserve">Quelle: </w:t>
      </w:r>
      <w:r>
        <w:t>https://mcp.opencaselaw.ch/entscheid/ge_gerichte_ATA_222_2025</w:t>
      </w:r>
    </w:p>
    <w:p>
      <w:r>
        <w:t>FR: GE_GERICHTE ATA/222/2025 du 4 mars 2025</w:t>
      </w:r>
    </w:p>
    <w:p>
      <w:r>
        <w:t>IT: GE_GERICHTE ATA/222/2025 del 4 marzo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Cela étant, la conclusion principale des recourantes tendant à ce que l’intimé préavise favorablement leur admission provisoire est irrecevable. En effet, la décision du 15 septembre 2023, confirmée par le TAPI en première instance, est une décision de non-entrée en matière sur la demande de reconsidération des recourantes. Or la conclusion précitée concerne le fond du litige et n’a pas été examinée par le TAPI, qui s’est limité à examiner si c’était à bon droit que l’OCPM n’était pas entré en matière sur la demande de reconsidération. Elle est donc exorbitante à l’objet du litige et, partant, irrecevable.</w:t>
      </w:r>
    </w:p>
    <w:p>
      <w:r>
        <w:rPr>
          <w:b/>
        </w:rPr>
        <w:t>E. 2</w:t>
      </w:r>
    </w:p>
    <w:p>
      <w:r>
        <w:t>Les recourantes demandent leur audition par la chambre administrative.</w:t>
      </w:r>
    </w:p>
    <w:p>
      <w:r>
        <w:t>- 12/17 - A/3348/2023</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une audition orale (ATF 140 I 285 consid. 6.3.1).</w:t>
      </w:r>
    </w:p>
    <w:p>
      <w:r>
        <w:rPr>
          <w:b/>
        </w:rPr>
        <w:t>E. 2.2</w:t>
      </w:r>
    </w:p>
    <w:p>
      <w:r>
        <w:t>En l'espèce, les recourantes ont eu l’occasion de faire valoir leur point de vue tout au long de la procédure devant l’OCPM, le TAPI, puis la chambre de céans. Elles ont, en outre, pu produire toutes les pièces qu’ils estimaient utiles. Elles ne motivent aucunement leur demande d’audition et n’expliquent pas en quoi celle-ci serait nécessaire à la solution du litige. La chambre de céans dispose ainsi d’un dossier complet, comprenant notamment le dossier de l’OCPM et du TAPI, lui permettant de se prononcer sur les griefs soulevés et trancher le litige en connaissance de cause, de sorte qu’il ne sera pas donné suite à la demande d’acte d’instruction.</w:t>
      </w:r>
    </w:p>
    <w:p>
      <w:r>
        <w:rPr>
          <w:b/>
        </w:rPr>
        <w:t>E. 3</w:t>
      </w:r>
    </w:p>
    <w:p>
      <w:r>
        <w:t>décembre 2021, l’évolution de l’état de santé des précitées ne pouvait être qualifié de notable, car la jurisprudence retenait que les problèmes psychiques engendrés par la crainte de voir définitivement perdues ses perspectives d'avenir en Suisse ou l'imminence d'un renvoi n’étaient pas susceptibles de justifier la reconnaissance d'un cas de rigueur. Les recourantes soutiennent que ces problèmes médicaux sont à mettre en lien avec les violences subies en Mongolie. Or, si tel était réellement le cas, on peine à comprendre pourquoi le syndrome post-traumatique aurait mis plus de huit ans à se déclencher, les certificats médicaux fournis n’expliquant pas un tel décalage. Dès lors, si ces problèmes de santé sont à mettre en lien avec les violences alléguées, il apparaît qu’ils pouvaient et devaient être évoqués dans la précédente procédure. On notera au demeurant que les certificats médicaux fournis, en tant qu’ils mentionnent « un risque élevé d’aggravation du trouble de l’adaptation vers un trouble anxieux ou dépressif en cas de retour en Mongolie », vont plutôt dans le sens retenu par le TAPI, quand bien même une partie de l’appréhension face à un tel retour peut être due à l’idée de devoir être à nouveau confrontées à leur ex-compagnon et père. Enfin, comme retenu à juste titre par le TAPI, la formation en cours de B______ et l’évolution positive de l’intégration de cette dernière et de sa mère en Suisse sont la conséquence de l'écoulement du temps et, in fine, du non-respect de la décision de refus et de renvoi prononcée à leur encontre le 3 décembre 2021. Il ne s’agit donc pas de circonstances permettant d’entrer en matière sur la demande de reconsidération. C’est ainsi de manière conforme au droit que l’OCPM a refusé d’entrer en matière sur la demande de reconsidération. Mal fondé, le recours sera rejeté.</w:t>
      </w:r>
    </w:p>
    <w:p>
      <w:r>
        <w:rPr>
          <w:b/>
        </w:rPr>
        <w:t>E. 3.1</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ATA/512/2024 du 23 avril 2024 consid 3.1 ; ATA/651/2023 du 20 juin 2023 consid. 4.1). Sont « nouveaux », au sens de cette disposition, les faits qui, survenus à un moment où ils pouvaient encore être allégués dans la procédure principale, n'étaient (objectivement) pas connus du requérant malgré toute sa diligence (ATF 134 III 669 consid. 2.2 ; 134 IV 48 consid. 1.2 ; ATA/111/2025 du 28 janvier 2025 consid. 3 ; ATA/1276/2024 du 30 octobre 2024 consid. 3.1).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(ATA/512/2024 précité consid 3.1 ; ATA/757/2023 du 11 juillet 2023 consid. 3.1). Pour qu'une telle condition soit réalisée, il faut que survienne une modification importante de l'état de fait ou des bases juridiques, ayant pour conséquence, malgré l'autorité de la chose jugée</w:t>
      </w:r>
    </w:p>
    <w:p>
      <w:r>
        <w:t>- 13/17 - A/3348/2023 rattachée à la décision en force, que cette dernière doit être remise en question (ATA/512/2024 du 23 avril 2024 consid 3.2 ; ATA/651/2023 précité consid. 4.1 in fine).</w:t>
      </w:r>
    </w:p>
    <w:p>
      <w:r>
        <w:rPr>
          <w:b/>
        </w:rPr>
        <w:t>E. 3.2</w:t>
      </w:r>
    </w:p>
    <w:p>
      <w:r>
        <w:t>Une demande de reconsidération ne doit pas permettre de remettre continuellement en cause des décisions entrées en force et d'éluder les dispositions légales sur les délais de recours (ATF 136 II 177 consid. 2.1).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La procédure de reconsidération ne constitue pas un moyen de réparer une erreur de droit ou une omission dans une précédente procédure (ATF 111 Ib 211 ; Thierry TANQUEREL, Manuel de droit administratif, 2e éd., 2018, n. 1417). En droit des étrangers, le résultat est identique que l'on parle de demande de réexamen ou de nouvelle demande d'autorisation : l'autorité administrative, laquelle se base sur l'état de fait actuel et traiterait une requête comme une nouvelle demande, n'octroiera pas une autorisation de séjour dans un cas où elle l'a refusée auparavant si la situation n'a pas changé ; si la situation a changé, les conditions posées au réexamen seront en principe remplies (arrêt du Tribunal fédéral 2C_715/2011 du 2 mai 2012 consid. 4.2 ; ATA/512/2024 précité consid. 3.3).</w:t>
      </w:r>
    </w:p>
    <w:p>
      <w:r>
        <w:rPr>
          <w:b/>
        </w:rPr>
        <w:t>E. 3.3</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w:t>
      </w:r>
    </w:p>
    <w:p>
      <w:r>
        <w:rPr>
          <w:b/>
        </w:rPr>
        <w:t>E. 3.4</w:t>
      </w:r>
    </w:p>
    <w:p>
      <w:r>
        <w:t>Bien que l'écoulement du temps et la poursuite d'une intégration socioprofessionnelle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(ATA/115/2025 du 28 janvier 2025 consid. 2.4 ; ATA/585/2024 du 14 mai 2024 consid. 3.1).</w:t>
      </w:r>
    </w:p>
    <w:p>
      <w:r>
        <w:rPr>
          <w:b/>
        </w:rPr>
        <w:t>E. 3.5</w:t>
      </w:r>
    </w:p>
    <w:p>
      <w:r>
        <w:t>En l'espèce, il convient – comme déjà précisé – uniquement d’examiner si les conditions d’une reconsidération sont réunies, l’OCPM ayant refusé d’entrer en matière sur la demande de reconsidération. Les recourantes invoquent le syndrome</w:t>
      </w:r>
    </w:p>
    <w:p>
      <w:r>
        <w:t>- 14/17 - A/3348/2023 post-traumatique consécutif aux violences domestiques dont elles auraient eu à pâtir en Mongolie, le suivi médical y afférent de A______ ainsi que l’avancement de la formation de B______. Les violences domestiques ou commises sur le lieu de travail alléguées par les recourantes datent de la période où elles résidaient encore en Mongolie, soit avant leur venue en Suisse. C’est dire si elles pouvaient, temporellement parlant, être mises en avant dans la procédure judiciaire de 2022. Le fait qu’il s’agisse de circonstances traumatiques de nature intime et qu’il soit connu que certaines victimes ne parviennent à s’exprimer sur de telles circonstances que longtemps après leur avènement ne peut être pris en compte dans ce cadre, sous peine de vider de son sens la définition jurisprudentielle du fait nouveau au sens de l’art. 80 LPA. Le TAPI a retenu, en lien avec la péjoration de l’état de santé des recourantes et particulièrement de A______, que bien que les suivis médicaux aient débuté postérieurement à l'entrée en force de la décision de refus et de renvoi du</w:t>
      </w:r>
    </w:p>
    <w:p>
      <w:r>
        <w:rPr>
          <w:b/>
        </w:rPr>
        <w:t>E. 4</w:t>
      </w:r>
    </w:p>
    <w:p>
      <w:r>
        <w:t>Vu l’issue du litige, un émolument de CHF 400.- sera mis à la charge solidaire des recourantes (art. 87 al. 1 LPA), et aucune indemnité de procédure ne sera allouée (art. 87 al. 2 LPA).</w:t>
      </w:r>
    </w:p>
    <w:p>
      <w:r>
        <w:t>- 15/17 - A/3348/2023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