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ATA/222/2020 vom 25. Februar 2020</w:t>
      </w:r>
    </w:p>
    <w:p>
      <w:r>
        <w:t>GE Cour de justice, 2020-02-25, FR</w:t>
      </w:r>
    </w:p>
    <w:p>
      <w:r>
        <w:rPr>
          <w:b/>
        </w:rPr>
        <w:t xml:space="preserve">Quelle: </w:t>
      </w:r>
      <w:r>
        <w:t>https://mcp.opencaselaw.ch/entscheid/ge_gerichte_ATA_222_2020</w:t>
      </w:r>
    </w:p>
    <w:p>
      <w:r>
        <w:t>FR: GE_GERICHTE ATA/222/2020 du 25 février 2020</w:t>
      </w:r>
    </w:p>
    <w:p>
      <w:r>
        <w:t>IT: GE_GERICHTE ATA/222/2020 del 25 febbraio 2020</w:t>
      </w:r>
    </w:p>
    <w:p>
      <w:pPr>
        <w:pStyle w:val="Heading2"/>
      </w:pPr>
      <w:r>
        <w:t>Erwägungen</w:t>
      </w:r>
    </w:p>
    <w:p>
      <w:r>
        <w:rPr>
          <w:b/>
        </w:rPr>
        <w:t>E. 25</w:t>
      </w:r>
    </w:p>
    <w:p>
      <w:r>
        <w:t>août 2015).</w:t>
      </w:r>
    </w:p>
    <w:p>
      <w:r>
        <w:t>Constitue un préjudice irréparable, au sens de l’art. 93 al. 1 let. a et b LTF, celui qui ne peut être ultérieurement réparé par une décision finale entièrement favorable au recourant (ATF 138 III 46 consid. 1.2 ; 134 III 188 consid. 2.1 et 2.2 ; 133 III 629 consid. 2.3.1). Un intérêt économique ou un intérêt tiré du principe de l’économie de la procédure peut constituer un tel préjudice. Tel serait le cas lorsque la décision incidente refuserait à une personne la possibilité d’intervenir comme partie à la procédure avec le risque de devoir recommencer entièrement la procédure avec une autre partie (ATF 131 I 57 consid. 1.2 ; 127 II 132 consid. 2a ; 126 V 244 consid. 2c ; 125 II 613 consid. 2a). En revanche, le simple fait d’avoir à subir une procédure et les inconvénients qui y sont liés, ne constituent toutefois pas en soi un préjudice irréparable (ATF 133 IV 139 consid. 4 ; arrêt du Tribunal fédéral 1C_149/2008 du 12 août 2008 consid. 2.1 ; ATA/9/2017 précité ; ATA/827/2015 du 11 août 2015). Un dommage de pur fait, tel que la prolongation de la procédure ou un accroissement</w:t>
      </w:r>
    </w:p>
    <w:p>
      <w:r>
        <w:t>- 7/10 -</w:t>
      </w:r>
    </w:p>
    <w:p>
      <w:r>
        <w:t>A/135/2018</w:t>
      </w:r>
    </w:p>
    <w:p>
      <w:r>
        <w:t>des frais de celle-ci, n’est notamment pas considéré comme un dommage irréparable de ce point de vue (ATF 133 III 629 consid. 2.3.1 ; 131 I 57 consid. 1).</w:t>
      </w:r>
    </w:p>
    <w:p>
      <w:r>
        <w:t>b.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du 19 décembre 2017 ; ATA/1217/2015 du 10 novembre). 6) a. La LPA ne règle pas le sort des preuves obtenues illégalement. Pour la doctrine, la problématique doit être traitée en relation avec le principe du procès équitable inscrit à l’art. 29 al. 1 Cst. et 6 par. 1 CEDH. Selon certains auteurs, les preuves obtenues par des moyens illégaux ne peuvent être utilisées que si elles auraient pu être recueillies d’une façon légale ou si un intérêt public important le justifie (Benoît BOVAY, Procédure administrative, 2000, p. 190 ; Pierre MOOR / Étienne POLTIER, Droit administratif, vol. II, 3ème éd., 2011, p. 297).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CPP,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w:t>
      </w:r>
    </w:p>
    <w:p>
      <w:r>
        <w:t>b.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d’office, telle la présente procédure (art. 19 LPA). L’utilisation de moyens de preuves acquis en violation de la sphère privée ne doit en outre être admise qu’avec une grande réserve (ATF 139 II 7 résumé in SJ 2013 I 179 ; ATF 120 V 435 consid. 3b). 7)</w:t>
      </w:r>
    </w:p>
    <w:p>
      <w:r>
        <w:t>En vertu de l'art. 54 de la loi de procédure fiscale du 4 octobre 2001 (LPFisc - D 3 17), relatif au pouvoir de décision de la chambre administrative, cette dernière prend sa décision après instruction du recours. Elle peut à nouveau</w:t>
      </w:r>
    </w:p>
    <w:p>
      <w:r>
        <w:t>- 8/10 -</w:t>
      </w:r>
    </w:p>
    <w:p>
      <w:r>
        <w:t>A/135/2018</w:t>
      </w:r>
    </w:p>
    <w:p>
      <w:r>
        <w:t>déterminer tous les éléments imposables et, après avoir entendu le contribuable, elle peut également modifier la taxation au désavantage de ce dernier. 8) a. En l’espèce, les recourants allèguent un préjudice irréparable et contestent la décision du TAPI, en raison du fait que ce dernier a constaté le caractère illicite du moyen de preuve – soit le rapport de police litigieux – mais a néanmoins admis son apport à la présente procédure. Leur cas serait une exception au principe selon lequel une décision autorisant l'utilisation de preuve ne cause « en général » pas de préjudice irréparable, dans la mesure où, en raison de circonstances spécifiques à la présente affaire, le caractère illicite du moyen de preuve s'imposait d'emblée.</w:t>
      </w:r>
    </w:p>
    <w:p>
      <w:r>
        <w:t>Leur argumentation sur ce point apparaît toutefois vague et peu concrète. Ils n'exposent en particulier pas en quoi ils seraient, à ce stade de la procédure, exposés à un dommage irréparable du seul fait que les documents incriminés provenant de la procédure pénale seraient versés à la procédure administrative. Ils ne démontrent pas non plus un intérêt à ce que la décision du TAPI soit immédiatement annulée ou modifiée. En effet, en application de l'art. 54 LPFisc notamment, les recourants ont et auront tout loisir de faire valoir leurs arguments dans le cadre de l'instruction de la procédure actuellement en cours devant le TAPI et conservent, le cas échéant, la possibilité de recourir contre le jugement que ce dernier rendra ultérieurement, après l'instruction complète du dossier, s'ils l'estiment mal fondé. On ne discerne pas non plus en quoi un éventuel intérêt économique des recourants serait atteint, l’instance judiciaire saisie par voie de recours ayant les mêmes compétences que l’autorité de taxation et pouvant ainsi décider en faveur ou en défaveur des recourants.</w:t>
      </w:r>
    </w:p>
    <w:p>
      <w:r>
        <w:t>Dans ces circonstances, la chambre administrative considère qu'un tel préjudice n'existe pas, de sorte que les conditions de recevabilité ne sont pas remplies sous l'angle du dommage irréparable. 9) a. La seconde hypothèse de l'art. 57 let. c LPA suppose cumulativement que l'instance saisie puisse mettre fin une fois pour toutes à la procédure en jugeant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w:t>
      </w:r>
    </w:p>
    <w:p>
      <w:r>
        <w:t>- 9/10 -</w:t>
      </w:r>
    </w:p>
    <w:p>
      <w:r>
        <w:t>A/135/2018</w:t>
      </w:r>
    </w:p>
    <w:p>
      <w:r>
        <w:t>b. En l'espèce, il n'est à juste titre pas soutenu par les recourants qu'en statuant immédiatement sur l'objet incident, il pourrait être mis fin à la procédure ou qu'une procédure longue et coûteuse serait évitée, tant l'admission que le refus des pièces litigieuses à ce stade n'étant pas susceptible d'entraîner de tels effets. La seconde hypothèse de l'art. 57 LPA n'est par conséquent pas non plus réalisée.</w:t>
      </w:r>
    </w:p>
    <w:p>
      <w:r>
        <w:t>Faute de remplir les réquisits de l’art. 57 let. c LPA, le recours sera déclaré irrecevable. 10.</w:t>
      </w:r>
    </w:p>
    <w:p>
      <w:r>
        <w:t>Vu l’issue du recours, un émolument de CHF 1'000.- sera mis à la charge des recourants (art. 87 al. 1 LPA). Aucune indemnité de procédure ne sera en revanche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