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ATA/222/2016 vom 10. März 2016</w:t>
      </w:r>
    </w:p>
    <w:p>
      <w:r>
        <w:t>GE Cour de justice, 2016-03-10, FR</w:t>
      </w:r>
    </w:p>
    <w:p>
      <w:r>
        <w:rPr>
          <w:b/>
        </w:rPr>
        <w:t xml:space="preserve">Quelle: </w:t>
      </w:r>
      <w:r>
        <w:t>https://mcp.opencaselaw.ch/entscheid/ge_gerichte_ATA_222_2016</w:t>
      </w:r>
    </w:p>
    <w:p>
      <w:r>
        <w:t>FR: GE_GERICHTE ATA/222/2016 du 10 mars 2016</w:t>
      </w:r>
    </w:p>
    <w:p>
      <w:r>
        <w:t>IT: GE_GERICHTE ATA/222/2016 del 10 marzo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1ère phr. LaLEtr, la chambre administrative doit statuer dans les dix jours qui suivent sa saisine. Ayant reçu le recours le 1er mars 2016 et statuant ce jour, elle respecte ce délai.</w:t>
      </w:r>
    </w:p>
    <w:p>
      <w:r>
        <w:t>La chambre administrative est en outre compétente pour apprécier l'opportunité des décisions portées devant elle en cette matière (art. 10 al. 2 2ème phr. LaLEtr).</w:t>
      </w:r>
    </w:p>
    <w:p>
      <w:r>
        <w:rPr>
          <w:b/>
        </w:rPr>
        <w:t>E. 3</w:t>
      </w:r>
    </w:p>
    <w:p>
      <w:r>
        <w:t>Le recourant conclut à ce que l'audition du Dr B______ soit ordonnée.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w:t>
      </w:r>
    </w:p>
    <w:p>
      <w:r>
        <w:t>b. Dans le cas d’espèce, le Dr B______ est l'auteur d'un certificat médical daté du 21 août 2015 et concernant le recourant, produit devant la chambre de céans. Un complément manuscrit rédigé le 18 février 2016 figure à la fin dudit document, si bien que la situation médicale apparaît décrite dans le dossier jusqu'à une date suffisamment récente pour pouvoir statuer en toute connaissance de cause.</w:t>
      </w:r>
    </w:p>
    <w:p>
      <w:r>
        <w:t>En conséquence, indépendamment du fait que le délai pour statuer empêcherait, sauf circonstances exceptionnelles, qu'une telle audition soit ordonnée par la chambre de céans, celle-ci rejettera la demande correspondante.</w:t>
      </w:r>
    </w:p>
    <w:p>
      <w:r>
        <w:t>- 9/14 - A/547/2016</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5</w:t>
      </w:r>
    </w:p>
    <w:p>
      <w:r>
        <w:t>a. Aux termes de l’art. 76 al. 1 let. b ch. 1 LEtr renvoyant à l'art. 75 al. 1 let. h LEtr, lorsqu'une décision de renvoi ou d'expulsion a été notifiée, l'autorité compétente peut, afin d'en assurer l'exécution, placer la personne concernée en détention administrative notamment si elle a été condamnée pour crime, par quoi il faut entendre une infraction passible d’une peine privative de liberté de plus de trois ans (art. 10 al. 2 CP ; ATA/848/2014 du 31 octobre 2014 consid. 5 ; ATA/295/2011 du 12 mai 2011 consid. 4).</w:t>
      </w:r>
    </w:p>
    <w:p>
      <w:r>
        <w:t>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w:t>
      </w:r>
    </w:p>
    <w:p>
      <w:r>
        <w:t>- 10/14 - A/547/2016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rPr>
          <w:b/>
        </w:rPr>
        <w:t>E. 6</w:t>
      </w:r>
    </w:p>
    <w:p>
      <w:r>
        <w:t>En l’espèce, le recourant conteste avoir été condamné pour crime au sens de l’art. 75 al. 1 let. h LEtr auquel renvoie l’art. 76 al. 1 let. b ch. 1 LEtr. À cet égard, il n'a pas contesté la ou les ordonnances pénales en cause, si bien que le dispositif de celle-ci est entré en force et lui est en principe opposable. Quoi qu'il en soit, le recourant ne conteste ce faisant que l'un des deux termes de la motivation alternative retenue par le TAPI, ce qui ne peut lui être d'aucun secours (ATF 138 I 97 consid. 4.1.4). Force est de constater au demeurant que le risque de fuite est ici patent, l'intéressé ayant toujours manifesté son refus de se rendre au Sénégal, ayant plusieurs fois disparu dans la clandestinité, et ayant selon ses dires sa femme et ses enfants qui résident dans le canton de Berne, sans qu'il ait jamais divulgué leur adresse.</w:t>
      </w:r>
    </w:p>
    <w:p>
      <w:r>
        <w:t>Partant, les conditions d'une mise en détention administrative sont remplies, à tout le moins en application de l'art. 76 al. 1 let. b ch. 3 et 4 LEtr.</w:t>
      </w:r>
    </w:p>
    <w:p>
      <w:r>
        <w:rPr>
          <w:b/>
        </w:rPr>
        <w:t>E. 7</w:t>
      </w:r>
    </w:p>
    <w:p>
      <w:r>
        <w:t>Le recourant invoque que les circonstances n'ont pas changé depuis sa relaxe en septembre 2010, et que dès lors une seconde mise en détention administrative ne peut être ordonnée.</w:t>
      </w:r>
    </w:p>
    <w:p>
      <w:r>
        <w:rPr>
          <w:b/>
        </w:rPr>
        <w:t>E. 8</w:t>
      </w:r>
    </w:p>
    <w:p>
      <w:r>
        <w:t>décembre 2015 consid. 4.1.2).</w:t>
      </w:r>
    </w:p>
    <w:p>
      <w:r>
        <w:rPr>
          <w:b/>
        </w:rPr>
        <w:t>E. 9</w:t>
      </w:r>
    </w:p>
    <w:p>
      <w:r>
        <w:t>Au vu de la jurisprudence précitée, on ne peut retenir que les circonstances soient restées identiques par rapport à 2010, puisque le recourant a fait l'objet de multiples condamnations pénales depuis septembre 2010, et qu'une nouvelle reconnaissance de sa qualité de citoyen du Sénégal par les autorités de ce pays permettent de considérer son identité et sa nationalité comme suffisamment établies.</w:t>
      </w:r>
    </w:p>
    <w:p>
      <w:r>
        <w:t>Le grief sera dès lors écarté.</w:t>
      </w:r>
    </w:p>
    <w:p>
      <w:r>
        <w:rPr>
          <w:b/>
        </w:rPr>
        <w:t>E. 10</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En l'espèce, la proportionnalité de la durée de la détention est donnée, et du reste non contestée.</w:t>
      </w:r>
    </w:p>
    <w:p>
      <w:r>
        <w:t>- 12/14 - A/547/2016</w:t>
      </w:r>
    </w:p>
    <w:p>
      <w:r>
        <w:t>Quant au prononcé d'une mesure moins incisive, le risque de fuite retenu au considérant qui précède empêche justement de l'envisager, si bien que le grief à ce sujet doit être écarté.</w:t>
      </w:r>
    </w:p>
    <w:p>
      <w:r>
        <w:rPr>
          <w:b/>
        </w:rPr>
        <w:t>E. 11</w:t>
      </w:r>
    </w:p>
    <w:p>
      <w:r>
        <w:t>a. Selon l’art. 80 al. 6 let. a LEtr, la détention administrative doit être levée si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(ATA/881/2015 du 28 août 2015 et les références citées).</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ATA/881/2015 précité).</w:t>
      </w:r>
    </w:p>
    <w:p>
      <w:r>
        <w:t>d. L'art. 83 al. 4 LEtr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TAF D-3819/2010 du 21 novembre 2011 consid. 4.2.3). Si les soins essentiels nécessaires peuvent être assurés dans le pays d’origine ou de provenance de l’étranger concerné, l’exécution du renvoi dans l’un ou l’autre de ces pays sera raisonnablement exigible (ATF 128 II 200 consid. 5.3 ; ATA/227/2015 du 2 mars 2015 consid. 5c).</w:t>
      </w:r>
    </w:p>
    <w:p>
      <w:r>
        <w:t>e. Selon l'art. 18 al. 1 de l'ordonnance sur l'usage de la contrainte (OLUsC - RS 364.3), l'autorité qui ordonne le transport et l'organe d'exécution déterminent l'aptitude de la personne concernée à être transportée ; en cas de doute, ils ordonnent un examen médical.</w:t>
      </w:r>
    </w:p>
    <w:p>
      <w:r>
        <w:t>- 13/14 - A/547/2016</w:t>
      </w:r>
    </w:p>
    <w:p>
      <w:r>
        <w:rPr>
          <w:b/>
        </w:rPr>
        <w:t>E. 12</w:t>
      </w:r>
    </w:p>
    <w:p>
      <w:r>
        <w:t>a. En l'espèce, une impossibilité du renvoi pour cause d'inaptitude complète au transport par voie aérienne n'est pas attestée par pièce, et ne s'impose pas d'emblée, si bien que rien ne justifie de déroger au principe prévu par l'art. 18 OLUsC d'une compétence sur ce point de l'autorité qui ordonne le transport et de l'organe d'exécution, avec un examen médical préalable. Comme le rappelle du reste l'officier de police dans sa réponse, le cas du recourant fera l'objet d'un examen dans ce cadre, une contre-indication relative au vol étant mentionnée dans le formulaire du 14 janvier 2016.</w:t>
      </w:r>
    </w:p>
    <w:p>
      <w:r>
        <w:t>b. Quant à une inexigibilité du renvoi pour raisons de santé, elle ne peut être retenue à ce stade. Le certificat médical du 21 août 2015 mentionne certes une possible paralysie des membres comme ultime conséquence d'une absence de poursuite du traitement. On ne sait toutefois rien de la probabilité de survenance d'une telle issue. De plus et surtout, le traitement prescrit pour les affections somatiques du recourant n'est constitué que de deux médicaments antalgiques (Dafalgan et Voltaren) des plus courants, dont rien n'indique qu'ils ne soient pas, sous une forme ou une autre, disponibles au Sénégal. Les certificats médicaux au dossier font état de ce que l'opération envisagée de son canal lombaire ne serait probablement pas disponible au Mali – pays dont il est notoire que le système de santé est moins avancé que celui du Sénégal, et où il n'est nullement prévu que l'intéressé soit refoulé vu son absence répétée d'identification par les autorités maliennes –, mais le recourant ne fait même pas valoir que l'opération en question aurait été décidée, n'en parlant d'ailleurs qu'en termes encore hypothétiques dans son courrier du 23 février 2016 au SEM.</w:t>
      </w:r>
    </w:p>
    <w:p>
      <w:r>
        <w:rPr>
          <w:b/>
        </w:rPr>
        <w:t>E. 13</w:t>
      </w:r>
    </w:p>
    <w:p>
      <w:r>
        <w:t>Vu ce qui précède, le recours, infondé, sera rejeté.</w:t>
      </w:r>
    </w:p>
    <w:p>
      <w:r>
        <w:rPr>
          <w:b/>
        </w:rPr>
        <w:t>E. 14</w:t>
      </w:r>
    </w:p>
    <w:p>
      <w:r>
        <w:t>Vu la nature du litige, il ne sera pas perçu d’émolument (art. 87 al. 1 LPA et 12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