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ATA/221/2013 vom 9. April 2013</w:t>
      </w:r>
    </w:p>
    <w:p>
      <w:r>
        <w:t>GE Cour de justice, 2013-04-09, FR</w:t>
      </w:r>
    </w:p>
    <w:p>
      <w:r>
        <w:rPr>
          <w:b/>
        </w:rPr>
        <w:t xml:space="preserve">Quelle: </w:t>
      </w:r>
      <w:r>
        <w:t>https://mcp.opencaselaw.ch/entscheid/ge_gerichte_ATA_221_2013</w:t>
      </w:r>
    </w:p>
    <w:p>
      <w:r>
        <w:t>FR: GE_GERICHTE ATA/221/2013 du 9 avril 2013</w:t>
      </w:r>
    </w:p>
    <w:p>
      <w:r>
        <w:t>IT: GE_GERICHTE ATA/221/2013 del 9 aprile 2013</w:t>
      </w:r>
    </w:p>
    <w:p>
      <w:pPr>
        <w:pStyle w:val="Heading2"/>
      </w:pPr>
      <w:r>
        <w:t>Erwägungen</w:t>
      </w:r>
    </w:p>
    <w:p>
      <w:r>
        <w:rPr>
          <w:b/>
        </w:rPr>
        <w:t>E. 1</w:t>
      </w:r>
    </w:p>
    <w:p>
      <w:r>
        <w:t>Interjeté en temps utile devant la juridiction compétente, le recours est recevable (art. 132 de la loi sur l'organisation judiciaire du 26 septembre 2010</w:t>
      </w:r>
    </w:p>
    <w:p>
      <w:r>
        <w:t>- 7/12 - A/2932/2012 - LOJ - E 2 05 ; art. 62 al. 1 let. a de la loi sur la procédure administrative du 12 septembre 1985 - LPA - E 5 10).</w:t>
      </w:r>
    </w:p>
    <w:p>
      <w:r>
        <w:rPr>
          <w:b/>
        </w:rPr>
        <w:t>E. 2</w:t>
      </w:r>
    </w:p>
    <w:p>
      <w:r>
        <w:t>La législation fédérale sur la formation professionnelle (loi fédérale sur la formation professionnelle, du 13 décembre 2002 - LFPr - RS 412.10 ; ordonnance sur la formation professionnelle, du 19 novembre 2003 - OFPr - RS 412.101) ne réglemente pas l'admission et la discipline dans les écoles professionnelles (voir not. les art. 2 et 21 LFPr, et 17 OFPr). Ces écoles professionnelles intermédiaires sont régies par le droit cantonal (M. BUCHSER, Berufsbildungsabschlüsse in der Schweiz, 2009, p. 73).</w:t>
      </w:r>
    </w:p>
    <w:p>
      <w:r>
        <w:rPr>
          <w:b/>
        </w:rPr>
        <w:t>E. 3</w:t>
      </w:r>
    </w:p>
    <w:p>
      <w:r>
        <w:t>Selon l'art. 7 de la loi sur l’instruction publique du 6 novembre 1940 (LIP - C 1 10), l'instruction publique comprend deux degrés de scolarité obligatoire (degré primaire et degré secondaire I) et deux degrés d'enseignement postobligatoire (degré secondaire II et degré tertiaire).</w:t>
      </w:r>
    </w:p>
    <w:p>
      <w:r>
        <w:t>Le CFPC relève du degré secondaire II (art. 44 al. 1 let. b ch. 2 et 67 LIP).</w:t>
      </w:r>
    </w:p>
    <w:p>
      <w:r>
        <w:rPr>
          <w:b/>
        </w:rPr>
        <w:t>E. 4</w:t>
      </w:r>
    </w:p>
    <w:p>
      <w:r>
        <w:t>Les conditions d'admission, de promotion et, aux degrés secondaire II et tertiaire, d’obtention des titres, sont fixées ou précisées par voie règlementaire (art. 47 al. 1 LIP).</w:t>
      </w:r>
    </w:p>
    <w:p>
      <w:r>
        <w:t>Ni le règlement de l'enseignement secondaire, du 14 octobre 1998 (RES - C 1 10.24), ni le règlement d'application de la loi sur la formation professionnelle, du 17 mars 2008 (RFP - C 2 05.01) ne prévoient la possibilité pour le DIP de refuser d'accepter un élève en début d'année pour des motifs disciplinaires ou de sûreté.</w:t>
      </w:r>
    </w:p>
    <w:p>
      <w:r>
        <w:rPr>
          <w:b/>
        </w:rPr>
        <w:t>E. 5</w:t>
      </w:r>
    </w:p>
    <w:p>
      <w:r>
        <w:t>La LIP et le RES prévoient par ailleurs un régime de sanctions disciplinaires pour les élèves du degré secondaire II.</w:t>
      </w:r>
    </w:p>
    <w:p>
      <w:r>
        <w:rPr>
          <w:b/>
        </w:rPr>
        <w:t>E. 6</w:t>
      </w:r>
    </w:p>
    <w:p>
      <w:r>
        <w:t>Ainsi, à teneur de l'art. 20B al. 1 LIP, l'élève qui ne se conforme pas aux instructions des membres du personnel de l'établissement ou des autorités scolaires, qui perturbe l'enseignement ou toute autre activité organisée ou placée sous la responsabilité de l'école, qui viole de toute autre manière des dispositions légales ou réglementaires, notamment en agressant physiquement ou verbalement une personne appartenant à la communauté scolaire et/ou en portant atteinte à ses biens ou à ceux de l'établissement, fait l'objet d'interventions pédagogiques et/ou de sanctions disciplinaires proportionnées à la faute commise.</w:t>
      </w:r>
    </w:p>
    <w:p>
      <w:r>
        <w:t>De même, une agression contre un membre de la communauté scolaire ou une atteinte à ses biens, commise hors périmètre d’un établissement scolaire et en dehors d'une activité organisée par ou placée sous la responsabilité de l'école, peut également fonder une sanction disciplinaire (ATA/99/2011 du 15 février 2011).</w:t>
      </w:r>
    </w:p>
    <w:p>
      <w:r>
        <w:t>- 8/12 - A/2932/2012</w:t>
      </w:r>
    </w:p>
    <w:p>
      <w:r>
        <w:rPr>
          <w:b/>
        </w:rPr>
        <w:t>E. 7</w:t>
      </w:r>
    </w:p>
    <w:p>
      <w:r>
        <w:t>Le plafond des sanctions disciplinaires les plus graves est fixé dans la LIP. L’élève contrevenant aux règles de comportement est passible du renvoi à plein-temps pour trois ans ou plus et/ou de l’exclusion pour une année au plus de toute filière à plein-temps d’une école ou d’un centre de formation professionnelle (art. 20B al. 3 LIP). Pour le reste, c’est au Conseil d’Etat qu’appartient la compétence d’arrêter les différents types de sanctions possibles (art. 20B al. 4 LIP).</w:t>
      </w:r>
    </w:p>
    <w:p>
      <w:r>
        <w:t>Ainsi, l’art. 34B al. 1 RES prévoit que l’élève fautif peut être sanctionné par :</w:t>
      </w:r>
    </w:p>
    <w:p>
      <w:r>
        <w:t>« 1. Une retenue dans l’établissement ou l’école, mais d’une durée maximale de quatre heures ;</w:t>
      </w:r>
    </w:p>
    <w:p>
      <w:r>
        <w:t>2. Une activité d’intérêt général hors du temps scolaire et dans le cadre de l’établissement ou de l’école d’une durée maximale de deux semaines ;</w:t>
      </w:r>
    </w:p>
    <w:p>
      <w:r>
        <w:t>3. L’exclusion d’un ou plusieurs cours d’une durée d’une demi-journée à un maximum de trente jours scolaires d’affilée ;</w:t>
      </w:r>
    </w:p>
    <w:p>
      <w:r>
        <w:t>4. L’exclusion de l’école ou de l’établissement jusqu’à trente jours scolaires d’affilée, sans compter les mesures d’exclusion de toute filière à plein-temps d’une école ou d’un centre de formation professionnelle ou l’exclusion d’une filière à plein-temps pour trois ans ou plus ».</w:t>
      </w:r>
    </w:p>
    <w:p>
      <w:r>
        <w:t>En cas d’exclusion d’un élève, celle-ci peut être au besoin assortie d’une mesure d’accompagnement éducatif ou de soutien psychologique avec intervention de différents services dépendant du DIP (art. 34D al. 6 RES).</w:t>
      </w:r>
    </w:p>
    <w:p>
      <w:r>
        <w:rPr>
          <w:b/>
        </w:rPr>
        <w:t>E. 8</w:t>
      </w:r>
    </w:p>
    <w:p>
      <w:r>
        <w:t>a. Un conseil de discipline est instauré pour prononcer les sanctions les plus graves. Il est compétent dès que le renvoi excède vingt jours scolaires d'affilée dans l'enseignement secondaire I et trente jours scolaires d'affilée dans l'enseignement postobligatoire (art. 20C al. 1 LIP et 34B al. 5 RES). Il est saisi par le secrétariat général du département (art. 20C al. 7 LIP).</w:t>
      </w:r>
    </w:p>
    <w:p>
      <w:r>
        <w:t>b. La procédure devant le conseil de discipline est réglée par le règlement interne du conseil de discipline (ci-après : RECD ; art. 20C al. 8 LIP), ainsi que par les dispositions de la LPA comme le rappelle l'art. 16 RECD ; ce qui signifie qu'elle est en principe écrite, sauf si le règlement et la nature de l'affaire le requièrent (art. 18 LPA) et qu'elle est régie par la maxime d'office (art. 19 LPA).</w:t>
      </w:r>
    </w:p>
    <w:p>
      <w:r>
        <w:rPr>
          <w:b/>
        </w:rPr>
        <w:t>E. 9</w:t>
      </w:r>
    </w:p>
    <w:p>
      <w:r>
        <w:t>a. Le droit est la base et la limite de l'activité de l'Etat (art. 5 al. 1 de la Constitution fédérale de la Confédération suisse du 18 avril 1999 - Cst. - RS 101). L'administration ne peut ainsi agir que si une base légale - au sens matériel - le lui permet (T. TANQUEREL, Manuel de droit administratif, 2011, n. 448). La disposition constitutionnelle précitée est le fondement du principe de la légalité,</w:t>
      </w:r>
    </w:p>
    <w:p>
      <w:r>
        <w:t>- 9/12 - A/2932/2012 qui s'applique également dans le cadre des sanctions disciplinaires scolaires, quand bien même les élèves sont dans un rapport de droit spécial avec l'Etat (R. ROHR, Der disziplinarische Schulausschluss, 2010, pp. 61 ss et 121 ss ; G. KELLER, Die Wahrung der Schuldisziplin im neuen Volksschulgesetz des Kantons Zürich, in T. GÄCHTER/T. JAAG [éd.], Das neue Zürcher Volsschulrecht, 2007, 131-146, p. 133 ; H. PLOTKE, Schweizerisches Schulrecht, 2e éd., 2003, p. 410).</w:t>
      </w:r>
    </w:p>
    <w:p>
      <w:r>
        <w:t>b. Dans la mesure néanmoins où le CFPC relève de l'enseignement postobligatoire et où M. V______ avait plus de 18 ans en 2012, un certain nombre de garanties conventionnelles ou constitutionnelles ne trouve pas application en l'espèce (not. la Convention relative aux droits de l'enfant, du 20 novembre 1989 - CDE - RS 0.107, ainsi que l'art. 19 Cst. garantissant le droit à un enseignement de base suffisant et gratuit).</w:t>
      </w:r>
    </w:p>
    <w:p>
      <w:r>
        <w:rPr>
          <w:b/>
        </w:rPr>
        <w:t>E. 10</w:t>
      </w:r>
    </w:p>
    <w:p>
      <w:r>
        <w:t>a. En l'espèce, le conseil de discipline a été saisi par le DIP du cas du recourant. Le 29 février 2012, il a prononcé l'exclusion de M. V______ du CFPC jusqu'au terme de l'année scolaire 2011-2012, et a invité les autorités scolaires à organiser un traitement ambulatoire en sa faveur auprès de l'association. Cette décision est entrée en force et a été exécutée dans tous ses aspects.</w:t>
      </w:r>
    </w:p>
    <w:p>
      <w:r>
        <w:t>b. Par ailleurs, aucune base légale ou réglementaire n'autorise le DIP, son chef ou l'un de ses représentants à exclure un élève d'une des ses institutions scolaires à titre préventif. Que ce soit dans la décision attaquée ou dans ses écritures, le DIP n'invoque du reste aucune base légale matérielle.</w:t>
      </w:r>
    </w:p>
    <w:p>
      <w:r>
        <w:rPr>
          <w:b/>
        </w:rPr>
        <w:t>E. 11</w:t>
      </w:r>
    </w:p>
    <w:p>
      <w:r>
        <w:t>Il convient donc d'examiner si l'autorité intimée pouvait agir en l'espèce sans base légale.</w:t>
      </w:r>
    </w:p>
    <w:p>
      <w:r>
        <w:rPr>
          <w:b/>
        </w:rPr>
        <w:t>E. 12</w:t>
      </w:r>
    </w:p>
    <w:p>
      <w:r>
        <w:t>a. L'art. 10 al. 2 Cst. protège l'intégrité physique et psychique de tout individu. Par ailleurs, selon l'art. 11 al. 1 Cst., les enfants et les jeunes ont droit à une protection particulière de leur intégrité et à l'encouragement de leur développement (sur cette disposition, voir not. ATF 129 I 12 consid. 10.5.3 ; 126 II 377 consid. 5 ; J. WYTTENBACH, Grund- und Menschenrechtskonflikte zwischen Eltern, Kind und Staat, 2006, pp. 272-326).</w:t>
      </w:r>
    </w:p>
    <w:p>
      <w:r>
        <w:t>b. Selon la jurisprudence, les droits fondamentaux n'ont plus seulement une fonction de défense contre les atteintes dues à l'état, mais ils fondent aussi un devoir étatique de protection (Schutzpflicht) contre les atteintes que des tiers provoquent. Le devoir de protéger les droits fondamentaux ne peut toutefois conférer une protection absolue contre n'importe quels risques et atteintes ; c'est pourquoi, même si l'on admet un tel devoir, une pesée des différents intérêts en présence n'en demeure pas moins nécessaire. Telle est en priorité la tâche de la législation pertinente ; en fixant quelles sont les activités autorisées ou non, elle détermine la limite entre une mise en danger inadmissible et un risque résiduel</w:t>
      </w:r>
    </w:p>
    <w:p>
      <w:r>
        <w:t>- 10/12 - A/2932/2012 acceptable (ATF 126 II 300 consid. 5 = JdT 2001 I 674, 688 s.). La doctrine insiste également sur le fait que la mise en œuvre des droits fondamentaux, au sens de l'art. 35 Cst., et celle de prévoir les obligations de l'Etat permettant de protéger ceux-ci, est en premier chef du ressort du législateur (E. M. BELSER/ B. WALDMANN/E. MOLINARI, Grundrechte I, 2012, p. 122 ; R. KIENER/ W. KÄLIN, Grundrechte, 2007, p. 34). La protection des intérêts et droits d'autrui au titre des droits fondamentaux ne peut ainsi qu'exceptionnellement pallier un défaut de base légale (Arrêt du Tribunal fédéral 2C_158/2012 du 20 avril 2012 consid. 4.3).</w:t>
      </w:r>
    </w:p>
    <w:p>
      <w:r>
        <w:t>c. Le droit à la vie et à l'intégrité corporelle, en particulier celle des jeunes au sens de l'art. 11 al. 1 Cst., est certes susceptible d'entraîner des obligations positives à charge de l'Etat (Arrêt du Tribunal fédéral 2C_450/2010 du</w:t>
      </w:r>
    </w:p>
    <w:p>
      <w:r>
        <w:rPr>
          <w:b/>
        </w:rPr>
        <w:t>E. 15</w:t>
      </w:r>
    </w:p>
    <w:p>
      <w:r>
        <w:t>En l'espèce, comme déjà exposé, aucun danger concret et immédiat ne menaçait la communauté scolaire, ce d'autant plus que la décision attaquée n'est pas limitée au CFPC, mais à tout établissement de l'enseignement postobligatoire. De plus, rien n'indique qu'une base légale, en particulier de niveau réglementaire, n'ait pu être adoptée avant la rentrée scolaire 2012. Le DIP ne pouvait donc pas non plus s'appuyer sur la clause générale de police pour adopter la décision querellée.</w:t>
      </w:r>
    </w:p>
    <w:p>
      <w:r>
        <w:rPr>
          <w:b/>
        </w:rPr>
        <w:t>E. 16</w:t>
      </w:r>
    </w:p>
    <w:p>
      <w:r>
        <w:t>Ce qui précède conduit à l'admission du recours. La décision attaquée sera ainsi annulée.</w:t>
      </w:r>
    </w:p>
    <w:p>
      <w:r>
        <w:rPr>
          <w:b/>
        </w:rPr>
        <w:t>E. 17</w:t>
      </w:r>
    </w:p>
    <w:p>
      <w:r>
        <w:t>Vu l'issue du litige, il ne sera pas perçu d'émolument (art. 87 al. 1 LPA). Le recourant y ayant conclu, et ayant engagé des frais d'avocat pour sa défense, une indemnité de procédure de CHF 1'000.- lui sera en outre octroyée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