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ATA/220/2011 vom 5. April 2011</w:t>
      </w:r>
    </w:p>
    <w:p>
      <w:r>
        <w:t>GE Cour de justice, 2011-04-05, FR</w:t>
      </w:r>
    </w:p>
    <w:p>
      <w:r>
        <w:rPr>
          <w:b/>
        </w:rPr>
        <w:t xml:space="preserve">Quelle: </w:t>
      </w:r>
      <w:r>
        <w:t>https://mcp.opencaselaw.ch/entscheid/ge_gerichte_ATA_220_2011</w:t>
      </w:r>
    </w:p>
    <w:p>
      <w:r>
        <w:t>FR: GE_GERICHTE ATA/220/2011 du 5 avril 2011</w:t>
      </w:r>
    </w:p>
    <w:p>
      <w:r>
        <w:t>IT: GE_GERICHTE ATA/220/2011 del 5 aprile 2011</w:t>
      </w:r>
    </w:p>
    <w:p>
      <w:pPr>
        <w:pStyle w:val="Heading2"/>
      </w:pPr>
      <w:r>
        <w:t>Regeste</w:t>
      </w:r>
    </w:p>
    <w:p>
      <w:r>
        <w:t>Résumé: : Recours d'un employé de l'aéroport international de Genève contre un licenciement survenu avant la fin de l'enquête interne engagée suite à une plainte qu'il avait déposée pour mobbing. Interdiction pour l'AIG de licencier l'employé plaignant, pendant la procédure, en raison de ce fait. Lorsque la preuve stricte de l'existence d'un lien de causalité entre le licenciement et la plainte ne peut être apportée, le juge se fonde sur un faisceau d'indices convergents. Recours admis en l'espèce.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aLOJ, disposition dont la teneur a été reprise depuis le 1er janvier 2011 par l'art. 132 al. 1, 2 et 6 LOJ ; art. 63 al. 1 let. a de la loi sur la procédure administrative du 12 septembre 1985 - LPA - E 5 10 - dans sa teneur au 31 décembre 2010).</w:t>
      </w:r>
    </w:p>
    <w:p>
      <w:r>
        <w:rPr>
          <w:b/>
        </w:rPr>
        <w:t>E. 3</w:t>
      </w:r>
    </w:p>
    <w:p>
      <w:r>
        <w:t>Le recourant considère que la commission a violé son droit d’être entendu en ne statuant pas sur ses griefs en rapport avec le règlement (art. 6 let. c, 9 al. 4 let. c, 9 al. 5 let. c et f).</w:t>
      </w:r>
    </w:p>
    <w:p>
      <w:r>
        <w:t>Selon la jurisprudence, l'autorité qui ne traite pas un grief relevant de sa compétence, motivé de façon suffisante et pertinente pour l'issue du litige, commet un déni de justice proscrit par l'art. 29 al. 1 de la Constitution fédérale de la Confédération suisse du 18 avril 1999 (Cst. - RS 101) (ATF 133 II 235 consid. 5.2 p. 248 ; 129 I 232 consid. 3.2 p. 236 ; 126 I 97 consid. 2b p. 103 ; 117 Ia 116 consid. 3a 117 ; Arrêt du Tribunal fédéral 2A.117 du 2 août 2006, consid. 5.3).</w:t>
      </w:r>
    </w:p>
    <w:p>
      <w:r>
        <w:t>En l’espèce, les articles précités du règlement interdisent à l’AIG de licencier, pendant toute la durée de la procédure et en raison de ce fait, un employé qui s’est plaint de bonne foi d’une atteinte à la personnalité.</w:t>
      </w:r>
    </w:p>
    <w:p>
      <w:r>
        <w:t>Dans son acte de recours devant la commission, le recourant a soutenu de manière claire que cette interdiction avait été violée. Ce grief était interdépendant de l’existence d’un motif fondé de licenciement et pertinent pour l’issue du litige. Il était à même de conduire à l’annulation de la décision attaquée et n’était pas manifestement dénué de fondement. La commission ne pouvait ainsi se dispenser de l’examiner sans violer le droit d’être entendu du recourant.</w:t>
      </w:r>
    </w:p>
    <w:p>
      <w:r>
        <w:t>- 12/17 - A/3879/2010</w:t>
      </w:r>
    </w:p>
    <w:p>
      <w:r>
        <w:rPr>
          <w:b/>
        </w:rPr>
        <w:t>E. 4</w:t>
      </w:r>
    </w:p>
    <w:p>
      <w:r>
        <w:t>Une décision entreprise pour violation du droit d’être entendu n’est pas nulle, mais annulable (Arrêt du Tribunal fédéral 2P.207/2001 du 12 novembre 2001 consid. 5a et les arrêts cités ; ATA/452/2008 du 2 septembre 2008 consid. 2b).</w:t>
      </w:r>
    </w:p>
    <w:p>
      <w:r>
        <w:rPr>
          <w:b/>
        </w:rPr>
        <w:t>E. 5</w:t>
      </w:r>
    </w:p>
    <w:p>
      <w:r>
        <w:t>La réparation d'un vice de procédure en instance de recours et, notamment, du droit d'être entendu, est cependant possible lorsque l'autorité dispose du même pouvoir d'examen que l'autorité inférieure (ATA/452/2008 du 2 septembre 2008 consid. 2b ; ATA/430/2008 du 27 août 2008 consid. 2 ; P. MOOR, Droit administratif, Les actes administratifs et leur contrôle, vol. 2, 2ème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précité).</w:t>
      </w:r>
    </w:p>
    <w:p>
      <w:r>
        <w:t>En l’espèce, les dispositions litigieuses ne confèrent aucune liberté d’appréciation à l’autorité. Les conditions qu’elles contiennent sont des notions indéterminées qui relèvent de l’application du droit et non de l’opportunité.</w:t>
      </w:r>
    </w:p>
    <w:p>
      <w:r>
        <w:t>La réparation de cette violation par la chambre de céans, qui peut revoir librement le droit, est ainsi possible (art. 61 al. 1er let. a LPA).</w:t>
      </w:r>
    </w:p>
    <w:p>
      <w:r>
        <w:rPr>
          <w:b/>
        </w:rPr>
        <w:t>E. 6</w:t>
      </w:r>
    </w:p>
    <w:p>
      <w:r>
        <w:t>Selon l’art. 5 du statut, l'organisation du travail au sein de l’AIG doit être conçue de telle sorte qu'elle assure le bon fonctionnement de l’institution et qu’elle permette aux membres du personnel de faire valoir leur personnalité, leurs aptitudes professionnelles et leurs facultés d'initiative. Le règlement fixe les droits et les devoirs du personnel en la matière et prévoit que sont mises à disposition du personnel des structures de médiation et d’enquêtes.</w:t>
      </w:r>
    </w:p>
    <w:p>
      <w:r>
        <w:rPr>
          <w:b/>
        </w:rPr>
        <w:t>E. 7</w:t>
      </w:r>
    </w:p>
    <w:p>
      <w:r>
        <w:t>Le membre du personnel qui s’estime victime d’un comportement constitutif d’une atteinte à la personnalité de la part d’un ou de plusieurs autres membres du personnel – et en particulier de mobbing – peut se plaindre auprès de l’AIG, qui « initiera, cas échéant, [une procédure interne d’information et de conciliation ; art. 7 du règlement] ou toute autre procédure adéquate pour mettre fin à toute conduite répréhensible et protéger la personne lésée, dès qu’il en sera informé ».</w:t>
      </w:r>
    </w:p>
    <w:p>
      <w:r>
        <w:rPr>
          <w:b/>
        </w:rPr>
        <w:t>E. 8</w:t>
      </w:r>
    </w:p>
    <w:p>
      <w:r>
        <w:t>L’intéressé peut également saisir l’AIG d’une demande expresse d’ouverture d’une enquête interne (art. 3, 5 al. 1er et 9 al. 1er du règlement).</w:t>
      </w:r>
    </w:p>
    <w:p>
      <w:r>
        <w:t>- 13/17 - A/3879/2010</w:t>
      </w:r>
    </w:p>
    <w:p>
      <w:r>
        <w:rPr>
          <w:b/>
        </w:rPr>
        <w:t>E. 9</w:t>
      </w:r>
    </w:p>
    <w:p>
      <w:r>
        <w:t>L’enquête aboutit à la rédaction par l’enquêteur d’un rapport contenant des recommandations portant sur les mesures utiles pour résoudre le conflit et rétablir un climat de confiance et, cas échéant, proposer la sanction à prendre à l’égard de la ou des personnes mises en cause (art. 9 al. 4 let. c du règlement).</w:t>
      </w:r>
    </w:p>
    <w:p>
      <w:r>
        <w:rPr>
          <w:b/>
        </w:rPr>
        <w:t>E. 10</w:t>
      </w:r>
    </w:p>
    <w:p>
      <w:r>
        <w:t>Afin d’assurer le bon déroulement de l’enquête, l’AIG s’engage à n’exercer aucune représaille à l’égard des personnes lésées et des témoins (art. 9 al. 5 let. c du règlement). En particulier, il veille à ne pas licencier du fait de leur plainte, pendant toute la durée de la procédure, les personnes qui auront porté plainte de bonne foi (art. 6 let. c du règlement).</w:t>
      </w:r>
    </w:p>
    <w:p>
      <w:r>
        <w:t>En l’espèce, l’AIG a licencié M. X______ durant la procédure alors que l’enquête interne avait à peine commencé. Conformément à la disposition précitée et à la jurisprudence, ce procédé est illégal si un lien de causalité entre la plainte et le licenciement peut être établi (Arrêt du Tribunal fédéral 4C.84/2005 du 16 juin 2005). Pour apprécier si cette condition est réalisée, le juge peut, lorsqu’aucune preuve stricte ne peut être apportée, se fier à un faisceau d’indices convergents, comme dans le cas du mobbing (cf. ATA/292/2009 du 16 juin 2009).</w:t>
      </w:r>
    </w:p>
    <w:p>
      <w:r>
        <w:t>La chronologie des faits laisse apparaître que, contrairement à ce que soutient l’AIG, la décision de licencier M. X______ est postérieure à la première plainte de ce dernier. En effet, dans le courrier du syndicat du 9 mai 2008 déjà, M. X______ a clairement allégué faire l’objet de pressions constitutives d’une atteinte à sa personnalité. Aucune décision de le licencier n’était prise ou en voie de l’être à ce moment-là. Le recourant a réitéré cette plainte dans son courrier du 27 novembre 2008, après son hospitalisation et son arrêt de travail pour cause d’ulcères à l’estomac. L’AIG n’a pas statué sur les suites à donner à cette double plainte pendant les dix mois qui ont suivi, contrairement à l’art. 5 al. 3 du règlement. Il a convoqué le recourant le 16 mars 2009. A cette occasion, ce dernier a demandé l’ouverture d’une enquête interne. Suite à cette requête, l’AIG l’a informé qu’il entendait mettre fin à ses rapports de travail, lui proposant une convention de départ.</w:t>
      </w:r>
    </w:p>
    <w:p>
      <w:r>
        <w:t>L'existence d'un lien de causalité ne peut ainsi être écartée par la simple chronologie des événements, comme le soutient l'intimé. Celle-ci est au contraire favorable au recourant.</w:t>
      </w:r>
    </w:p>
    <w:p>
      <w:r>
        <w:rPr>
          <w:b/>
        </w:rPr>
        <w:t>E. 11</w:t>
      </w:r>
    </w:p>
    <w:p>
      <w:r>
        <w:t>Les griefs de mobbing formulés par M. X______ n’apparaissent, quant à eux, pas manifestement dénués de fondement. En effet, tant la faute qui lui a été reprochée lors du cours de Teeside 2006, que l’interprétation donnée à son certificat médical et la mise à pied qui s’en est suivie, la façon de comptabiliser cette absence, ou encore la soudaine exigence de produire un certificat médical dès le premier jour d’absence pour deux jours de grippe alors que ce mode de faire n’existait pas auparavant, peuvent surprendre et ne permettaient en tout cas pas</w:t>
      </w:r>
    </w:p>
    <w:p>
      <w:r>
        <w:t>- 14/17 - A/3879/2010 d’écarter a priori le bien-fondé des plaintes du recourant avant l’aboutissement de l’enquête.</w:t>
      </w:r>
    </w:p>
    <w:p>
      <w:r>
        <w:rPr>
          <w:b/>
        </w:rPr>
        <w:t>E. 12</w:t>
      </w:r>
    </w:p>
    <w:p>
      <w:r>
        <w:t>Le fait que le licenciement soit intervenu pendant l’enquête interne, juste après deux auditions favorables au recourant, plaide également en faveur du lien de causalité.</w:t>
      </w:r>
    </w:p>
    <w:p>
      <w:r>
        <w:rPr>
          <w:b/>
        </w:rPr>
        <w:t>E. 13</w:t>
      </w:r>
    </w:p>
    <w:p>
      <w:r>
        <w:t>L’existence de ce lien est encore rendue crédible par les motifs de licenciement avancés. En effet, en-dehors de la défiance invoquée, qui est intimement liée aux prétentions de mobbing du recourant, la prétendue inaptitude physique de M. X______ n’est appuyée par aucun élément objectif.</w:t>
      </w:r>
    </w:p>
    <w:p>
      <w:r>
        <w:t>En effet, concernant les suites physiques de l’accident de 2005, le médecin-conseil de l’AIG a affirmé qu’il n’en résultait aucune inaptitude pour la fonction. Les deux derniers supérieurs hiérarchiques de M. X______ ont confirmé que les prestations de ce dernier étaient demeurées très bonnes entre 2006 et 2008 malgré ses incapacités de travail pour cause de maladie. M. X______ a participé au cours de Teeside en 2007 et la qualité de ses prestations a même été confirmée par le commandant B______. Le motif d’arrêt pour cause de maladie est exclusivement d’ordre psychique, directement lié au conflit relationnel avec sa hiérarchie, ce qui n’est pas contesté. Aucun élément n’établit que cette affection ait porté atteinte, de manière durable en tout cas, à la condition physique de M. X______. L’un de ses chefs aurait d’ailleurs subi des arrêts de travail semblables, sans qu’il en soit résulté une mise à l’écart.</w:t>
      </w:r>
    </w:p>
    <w:p>
      <w:r>
        <w:rPr>
          <w:b/>
        </w:rPr>
        <w:t>E. 14</w:t>
      </w:r>
    </w:p>
    <w:p>
      <w:r>
        <w:t>L'argument de la commission selon lequel il ne serait « pas dans l’intérêt du service de garder un collaborateur dont les compétences devaient être constamment rétablies par des mesures individuelles de formation, qui ne pouvaient, de surcroît, suppléer complètement le manque de travail de groupe » n'est étayé par aucun élément du dossier. L'AIG n'a jamais allégué qu'elle avait constamment dû rétablir par de telles mesures le niveau de M. X______, qui n'a suivi que les formations usuelles propres à sa section.</w:t>
      </w:r>
    </w:p>
    <w:p>
      <w:r>
        <w:rPr>
          <w:b/>
        </w:rPr>
        <w:t>E. 15</w:t>
      </w:r>
    </w:p>
    <w:p>
      <w:r>
        <w:t>Enfin, l’argument de l’AIG consistant à soutenir que M. X______ serait responsable de l’interruption de l’enquête interne au motif qu’il l’aurait provoquée relève de la mauvaise foi.</w:t>
      </w:r>
    </w:p>
    <w:p>
      <w:r>
        <w:t>En effet, le règlement a pour but de prévenir et d’éliminer toute forme de discrimination au sein de l’entreprise, et du mobbing en particulier (art. 1 al. 1er et 3 du règlement). Lorsqu’une enquête interne est ouverte, la mission de l’enquêteur consiste à entendre les parties et les témoins éventuels, puis à établir un rapport contenant des recommandations destinées à résoudre le conflit et à rétablir un climat de confiance (art. 9 al. 4 let. a, b et c du règlement). On voit mal, dans ces conditions, quel sens pourrait avoir la poursuite d’une telle enquête une fois le licenciement prononcé.</w:t>
      </w:r>
    </w:p>
    <w:p>
      <w:r>
        <w:t>- 15/17 - A/3879/2010</w:t>
      </w:r>
    </w:p>
    <w:p>
      <w:r>
        <w:t>Lorsqu’il a affirmé que l’enquête interne était devenue sans objet après le prononcé de son licenciement, M. X______ s’est trouvé à constater cette évidence. Il a d’ailleurs été très explicite à ce sujet, en rappelant que l’interruption de l’enquête violait le règlement précité.</w:t>
      </w:r>
    </w:p>
    <w:p>
      <w:r>
        <w:t>Quant à la négociation d’une convention de départ, elle n'entre pas dans les buts poursuivis par le règlement. Elle ne saurait justifier l’ouverture d’une enquête interne ou sa continuation après la rupture des rapports de travail.</w:t>
      </w:r>
    </w:p>
    <w:p>
      <w:r>
        <w:t>Si les éléments exposés ci-dessus, pris chacun individuellement, ne sont pas à même de fonder l'existence d'un lien de causalité entre le licenciement et la plainte pour mobbing déposée par M. X______, ils créent, mis ensemble, un faisceau d’indices convergents démontrant que le congé est en lien direct avec cette plainte.</w:t>
      </w:r>
    </w:p>
    <w:p>
      <w:r>
        <w:rPr>
          <w:b/>
        </w:rPr>
        <w:t>E. 16</w:t>
      </w:r>
    </w:p>
    <w:p>
      <w:r>
        <w:t>En licenciant le recourant pendant la procédure d’enquête, l’AIG a ainsi contrevenu à l’art. 6 let. c du règlement.</w:t>
      </w:r>
    </w:p>
    <w:p>
      <w:r>
        <w:t>L’existence d’un motif justifié de licenciement au sens de l’art. 57 al. 3 du statut ne saurait ainsi être reconnue avant que l'enquête n’ait été menée à son terme et qu'un rapport, infirmant ou confirmant le bien-fondé des plaintes du recourant, n’ait été dressé.</w:t>
      </w:r>
    </w:p>
    <w:p>
      <w:r>
        <w:t>Le recours sera dès lors admis.</w:t>
      </w:r>
    </w:p>
    <w:p>
      <w:r>
        <w:rPr>
          <w:b/>
        </w:rPr>
        <w:t>E. 17</w:t>
      </w:r>
    </w:p>
    <w:p>
      <w:r>
        <w:t>Selon l’art. 57 al. 5 du statut, lorsque le licenciement est déclaré injustifié par l’autorité de recours, cette dernière peut proposer la réintégration de l’intéressé et, en cas de refus de l’employeur, condamner celui-ci au paiement d’une indemnité ne dépassant pas dix-huit mois de salaire fixe.</w:t>
      </w:r>
    </w:p>
    <w:p>
      <w:r>
        <w:t>Vu l'issue du litige, la réintégration de M. X______ sera proposée. En cas de refus de réintégration, l'AIG devra transmettre sa décision à la chambre administrative pour que celle-ci fixe l'indemnité due, en application de l'art. 57 al. 5 du statut.</w:t>
      </w:r>
    </w:p>
    <w:p>
      <w:r>
        <w:rPr>
          <w:b/>
        </w:rPr>
        <w:t>E. 18</w:t>
      </w:r>
    </w:p>
    <w:p>
      <w:r>
        <w:t>Un émolument de CHF 1'500.- sera mis à la charge de l’AIG, qui succombe. Une indemnité de procédure de CHF 2’500.- sera par ailleurs allouée à M. X______, à la charge de l’AIG (art. 87 LPA).</w:t>
      </w:r>
    </w:p>
    <w:p>
      <w:r>
        <w:t>* * * * *</w:t>
      </w:r>
    </w:p>
    <w:p>
      <w:r>
        <w:t>- 16/17 - A/3879/2010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