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ATA/217/2012 vom 17. April 2012</w:t>
      </w:r>
    </w:p>
    <w:p>
      <w:r>
        <w:t>GE Cour de justice, 2012-04-17, FR</w:t>
      </w:r>
    </w:p>
    <w:p>
      <w:r>
        <w:rPr>
          <w:b/>
        </w:rPr>
        <w:t xml:space="preserve">Quelle: </w:t>
      </w:r>
      <w:r>
        <w:t>https://mcp.opencaselaw.ch/entscheid/ge_gerichte_ATA_217_2012</w:t>
      </w:r>
    </w:p>
    <w:p>
      <w:r>
        <w:t>FR: GE_GERICHTE ATA/217/2012 du 17 avril 2012</w:t>
      </w:r>
    </w:p>
    <w:p>
      <w:r>
        <w:t>IT: GE_GERICHTE ATA/217/2012 del 17 aprile 2012</w:t>
      </w:r>
    </w:p>
    <w:p>
      <w:pPr>
        <w:pStyle w:val="Heading2"/>
      </w:pPr>
      <w:r>
        <w:t>Erwägungen</w:t>
      </w:r>
    </w:p>
    <w:p>
      <w:r>
        <w:rPr>
          <w:b/>
        </w:rPr>
        <w:t>E. 1</w:t>
      </w:r>
    </w:p>
    <w:p>
      <w:r>
        <w:t>Selon l'art. 65 al. 1 de la loi sur la procédure administrative du 12 septembre 1985 (LPA - E 5 10), l'acte de recours contient, sous peine d'irrecevabilité, la désignation de la décision attaquée et les conclusions du recourant.</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(ATA/450/2011 du 26 juillet 2011 consid. 3 ; ATA/1/2007 du 9 janvier 2007 ; ATA/118/2006 du 7 mars 2006 ; ATA/775/2005 du 15 novembre 2005).</w:t>
      </w:r>
    </w:p>
    <w:p>
      <w:r>
        <w:t>En l’espèce, le recours déposé le 11 juillet 2011 permet implicitement de comprendre que la recourante demande à ce que la décision litigieuse soit annulée.</w:t>
      </w:r>
    </w:p>
    <w:p>
      <w:r>
        <w:t>Interjeté par ailleurs en temps utile devant la juridiction compétente, le recours est ainsi recevable (art. 132 de la loi sur l'organisation judiciaire - LOJ - E 2 05 ; art. 62 al. 1 let. a LPA).</w:t>
      </w:r>
    </w:p>
    <w:p>
      <w:r>
        <w:rPr>
          <w:b/>
        </w:rPr>
        <w:t>E. 2</w:t>
      </w:r>
    </w:p>
    <w:p>
      <w:r>
        <w:t>Selon l'art. 61 LPA, le pouvoir d’examen de la chambre administrative se limite à la violation du droit, y compris l'excès et l'abus du pouvoir d'appréciation (art. 61 al. 1 let. a LPA). La chambre de céans ne peut ainsi pas revoir l'opportunité de la décision litigieuse (art. 61 al. 2 LPA et 31 de la loi générale relative au personnel de l’administration cantonale, du pouvoir judiciaire et des établissements publics médicaux du 4 décembre 1997 - LPAC - B 5 05).</w:t>
      </w:r>
    </w:p>
    <w:p>
      <w:r>
        <w:rPr>
          <w:b/>
        </w:rPr>
        <w:t>E. 3</w:t>
      </w:r>
    </w:p>
    <w:p>
      <w:r>
        <w:t>Le personnel des établissements publics médicaux, dont font partie les HUG (art. 1 let. a de la loi sur les établissements publics médicaux, du 19 septembre 1980 - LEPM - K 2 05), est soumis à la LPAC (art. 1 al. 1 let. e LPAC).</w:t>
      </w:r>
    </w:p>
    <w:p>
      <w:r>
        <w:t>Le conseil d'administration est l'autorité compétente pour prononcer la fin des rapports de service (art. 17 al. 1 LPAC) ; il peut déléguer cette compétence à la direction générale de l'établissement (art. 17 al. 4), ainsi qu'en autoriser la sous-délégation en faveur des services de l'établissement pour les membres du personnel n'ayant pas la qualité de fonctionnaire (art. 17 al. 6 LPAC).</w:t>
      </w:r>
    </w:p>
    <w:p>
      <w:r>
        <w:rPr>
          <w:b/>
        </w:rPr>
        <w:t>E. 4</w:t>
      </w:r>
    </w:p>
    <w:p>
      <w:r>
        <w:t>a. La LPAC, suite à la novelle du 23 mars 2007 entrée en vigueur le 31 mai 2007, établit un régime juridique différent concernant la résiliation ordinaire des rapports de service par décision de l’administration, selon que l'agent a le statut de fonctionnaire au sens de l'art. 5 LPAC ou celui d'employé au sens de l'art. 6 LPAC. Dans le premier cas, il ne peut être mis fin aux rapports de services que pour des motifs fondés au sens de l'art. 22 LPAC, en respectant le délai légal et la procédure prévue à l'art. 21 al. 3 LPAC. Dans le deuxième, il peut être mis fin à ceux-ci, selon l'art. 21 al. 1 LPAC, moyennant une audition préalable de l'intéressé</w:t>
      </w:r>
    </w:p>
    <w:p>
      <w:r>
        <w:t>- 6/8 - A/2119/2011 et le respect du délai légal. Pendant le temps d’essai, celui-ci est de quinze jours pour la fin d’une semaine (art. 20 al. 1 LPAC). La communication du motif n'est pas nécessaire, celui-ci n'ayant à être donné qu'à la demande de la personne licenciée (ATA/739/2010 du 2 novembre 2010 consid. 4a).</w:t>
      </w:r>
    </w:p>
    <w:p>
      <w:r>
        <w:t>Ainsi, pour le licenciement d'un employé, même s'il doit exister un motif justifiant de mettre fin aux rapports de service, l'administration bénéficie d'un large pouvoir d'appréciation. De fait, la loi ne prévoit pas d’autres conditions au licenciement d'un employé pendant la période d'essai que celles rappelées ci-dessus, au-delà du respect des garanties et principes constitutionnels tels le droit d'être entendu, l'égalité de traitement, l'interdiction de l'arbitraire et le principe de la proportionnalité, le pouvoir de la chambre de céans s’inscrivant dans ce cadre (ATA/254/2011 du 19 avril 2011 consid. 4d ; ATA/739/2010 du 2 novembre 2010 consid. 4a ; ATA/611/2008 du 9 décembre 2008 consid. 4a ; ATA/646/2002 du 5 novembre 2002). Ce qui vaut pour la fin des rapports de service pendant la période probatoire vaut d’autant plus pendant le temps d’essai, soit dans les premières semaines d’engagement lors desquelles les aptitudes personnelles et professionnelles du nouveau collaborateur doivent être testées.</w:t>
      </w:r>
    </w:p>
    <w:p>
      <w:r>
        <w:t>b.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135 V 4 consid. 1.3 ; 135 III 522 consid. 4.3 ; 135 II 362 consid. 4.2.1 ; 134 II 133 consid. 4.1 ; 134 I 265 consid. 3.1). La chambre administrative suit le raisonnement du Tribunal fédéral en la matière (ATA/344/2008 du 24 juin 2008 consid. 6a).</w:t>
      </w:r>
    </w:p>
    <w:p>
      <w:r>
        <w:rPr>
          <w:b/>
        </w:rPr>
        <w:t>E. 5</w:t>
      </w:r>
    </w:p>
    <w:p>
      <w:r>
        <w:t>juillet 2011 de mettre fin aux rapports de services pour le 31 juillet 2011 respecte le délai de l'art. 20 al. 1 LPAC et le droit d'être entendu accordé par l'art. 21 al. 1 LPAC. Quand bien même la loi ne l’exige pas, les motifs de cette décision ont été largement exposés à la recourante.</w:t>
      </w:r>
    </w:p>
    <w:p>
      <w:r>
        <w:t>Au vu de leur teneur, ils échappent également au grief d’arbitraire. En effet, les HUG se sont fondés sur les difficultés éprouvées par la recourante à respecter l'horaire d'entrée en service, crucial pour la bonne marche de ce dernier, et sur le fait qu'elle ait prétendu que la question n'avait pas été abordée avant son</w:t>
      </w:r>
    </w:p>
    <w:p>
      <w:r>
        <w:t>- 7/8 - A/2119/2011 engagement. A ce dernier égard, l'allégation de la recourante selon laquelle ce point aurait été passé sous silence lors de l'entretien du 4 mai 2011, n'apparaît pas crédible en regard d'une part de l'importance attachée à cette question par le service et, d'autre part, de la déclaration de l'intéressée, selon laquelle en prenant le train de 06h26 à Villeneuve « cela était jouable ».</w:t>
      </w:r>
    </w:p>
    <w:p>
      <w:r>
        <w:rPr>
          <w:b/>
        </w:rPr>
        <w:t>E. 6</w:t>
      </w:r>
    </w:p>
    <w:p>
      <w:r>
        <w:t>Le recours sera dès lors rejeté.</w:t>
      </w:r>
    </w:p>
    <w:p>
      <w:r>
        <w:t>Un émolument de CHF 500.- sera mis à la charge de la recourante, qui succombe (art. 87 al. 1 LPA).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