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ATA/215/2019 vom 5. März 2019</w:t>
      </w:r>
    </w:p>
    <w:p>
      <w:r>
        <w:t>GE Cour de justice, 2019-03-05, FR</w:t>
      </w:r>
    </w:p>
    <w:p>
      <w:r>
        <w:rPr>
          <w:b/>
        </w:rPr>
        <w:t xml:space="preserve">Quelle: </w:t>
      </w:r>
      <w:r>
        <w:t>https://mcp.opencaselaw.ch/entscheid/ge_gerichte_ATA_215_2019</w:t>
      </w:r>
    </w:p>
    <w:p>
      <w:r>
        <w:t>FR: GE_GERICHTE ATA/215/2019 du 5 mars 2019</w:t>
      </w:r>
    </w:p>
    <w:p>
      <w:r>
        <w:t>IT: GE_GERICHTE ATA/215/2019 del 5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w:t>
      </w:r>
    </w:p>
    <w:p>
      <w:r>
        <w:t>- 4/9 - A/1169/2018</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 16 janvier 2018 consid. 6a et les références citées).</w:t>
      </w:r>
    </w:p>
    <w:p>
      <w:r>
        <w:rPr>
          <w:b/>
        </w:rPr>
        <w:t>E. 3</w:t>
      </w:r>
    </w:p>
    <w:p>
      <w:r>
        <w:t>Aux termes de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w:t>
      </w:r>
    </w:p>
    <w:p>
      <w:r>
        <w:t>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w:t>
      </w:r>
    </w:p>
    <w:p>
      <w:r>
        <w:rPr>
          <w:b/>
        </w:rPr>
        <w:t>E. 4</w:t>
      </w:r>
    </w:p>
    <w:p>
      <w:r>
        <w:t>a. Le 1er juillet 2017 est entrée en vigueur la loi sur les taxis et les voitures de transport avec chauffeur du 13 octobre 2016 (LTVTC - H 1 31) et le règlement d'exécution de la LTVTC du 21 juin 2017 (RTVTC - H 1 31.01), abrogeant l’ancienne loi sur les taxis et limousines (transport professionnel de personnes au moyen de voitures automobiles) du 21 janvier 2005 (aLTaxis) et son règlement d’exécution du 4 mai 2005 (aRTaxis ; art. 40 LTVTC et 53 RTVTC).</w:t>
      </w:r>
    </w:p>
    <w:p>
      <w:r>
        <w:t>b. Selon l’art. 1 LTVTC, la LTVTC a pour objet de réglementer les professions de chauffeur de taxi et de chauffeur de voiture de transport avec chauffeur, en tant que services complémentaires à ceux offerts par les transports publics (al. 1) ; elle a pour but de promouvoir un service public efficace et de qualité capable de répondre à la demande tous les jours de l’année, à toute heure et en tout lieu du territoire genevois (al. 2) ;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w:t>
      </w:r>
    </w:p>
    <w:p>
      <w:r>
        <w:t>c. L’art. 5 al. 1 LTVTC prévoit que la carte professionnelle de chauffeur confère à son titulaire le droit d’exercer son activité en qualité d'indépendant ou</w:t>
      </w:r>
    </w:p>
    <w:p>
      <w:r>
        <w:t>- 5/9 - A/1169/2018 d'employé, comme chauffeur de taxi ou comme chauffeur de voiture de transport avec chauffeur, conformément à la mention apposée sur la carte. Strictement personnelle et intransmissible, elle est délivrée par le département lorsque le requérant en remplit les conditions définies par la loi (art. 5 al. 2 LTVTC), dont celle de n'avoir pas fait l'objet, dans les 5 ans précédant la requête, de décisions administratives ou de condamnations incompatibles avec l'exercice de la profession, telles que définies par le Conseil d'État (art. 5 al. 2 let e LTVTC).</w:t>
      </w:r>
    </w:p>
    <w:p>
      <w:r>
        <w:t>Selon l’art. 43 al. 1 LTVTC, tout titulaire de la carte professionnelle de chauffeur de taxi ou de limousine au sens de la aLTaxis, qui, lors de l'entrée en vigueur de la LTVTC, exerce de manière effective sa profession en qualité d'employé ou d'indépendant, se voit délivrer la carte professionnelle prévue par l’art. 5 LTVTC, cas échéant avec la mention correspondant à la profession de chauffeur de taxi. Si l’activité du chauffeur est suspendue de manière provisoire lors de l’entrée en vigueur de la LTVTC, notamment au motif d’un retrait provisoire de son permis de conduire, il ne perd pas le droit à se voir délivrer la carte professionnelle de chauffeur (art. 43 al. 2 LTVTC).</w:t>
      </w:r>
    </w:p>
    <w:p>
      <w:r>
        <w:t>d. À teneur de l’art. 10 LTVTC, les voitures de taxis sont au bénéfice d’une AUADP. Chaque autorisation correspond à une immatriculation (al. 1) ; le nombre des autorisations est limité en vue d’assurer un bon fonctionnement des services de taxis, par une utilisation optimale du domaine public, et en vue de garantir la sécurité publique (al. 2) ; le Conseil d’État fixe le nombre maximal d’autorisations en fonction des besoins évalués périodiquement (al. 3).</w:t>
      </w:r>
    </w:p>
    <w:p>
      <w:r>
        <w:t>Selon l’art. 46 LTVTC, les titulaires de permis de service public au sens de la aLTaxis se voient délivrer un nombre correspondant d’autorisations d’AUADP au sens de la LTVTC et conservent la titularité de leurs numéros d’immatriculation, pour autant qu’ils poursuivent leur activité de chauffeur de taxi, respectivement d’entreprise proposant un service de taxis (al. 1 1ère phr.) ; tout titulaire de la carte professionnelle de chauffeur de taxi qui exploite un taxi de service privé en qualité d’indépendant ou travaille comme employé ou fermier d’un titulaire d’une autorisation d’exploiter un taxi ou une entreprise de taxis de service public au sens LTaxis, délivrée avant le 1er juin 2015, qui, lors de l’entrée en vigueur de la LTVTC, exerce de manière effective sa profession peut demander une AUADP au sens de l’art. 10 LTVTC, dans un délai de six mois après son entrée en vigueur (al. 2 1ère phr.).</w:t>
      </w:r>
    </w:p>
    <w:p>
      <w:r>
        <w:t>L’art. 11 LTVTC précise que les AUADP sont attribuées sur requête, à des personnes physiques ou morales ; elles sont personnelles et incessibles (al. 1) ; le requérant doit être titulaire d’une carte professionnelle de chauffeur de taxi ou être une entreprise de transport de taxi, quelle que soit sa forme juridique (al. 2 let. a) et ne pas avoir, comme requérant à titre individuel ou comme exploitant d’entreprise, fait l’objet dans les cinq ans précédant la requête de décisions</w:t>
      </w:r>
    </w:p>
    <w:p>
      <w:r>
        <w:t>- 6/9 - A/1169/2018 administratives ou de condamnations incompatibles avec l’exercice de la profession, telles que définies par le Conseil d’État (al. 2 let. b).</w:t>
      </w:r>
    </w:p>
    <w:p>
      <w:r>
        <w:rPr>
          <w:b/>
        </w:rPr>
        <w:t>E. 5</w:t>
      </w:r>
    </w:p>
    <w:p>
      <w:r>
        <w:t>En l’espèce, il ressort des documents médicaux du dossier que le recourant a été suivi par un médecin depuis le 27 juillet 2015 en raison d’une lombalgie qui a entraîné un arrêt de travail à 50 % du 14 octobre au 3 novembre 2015, puis à 100 % du 4 au 17 novembre 2015 et à un taux non précisé jusqu’à fin septembre 2016. L’évolution favorable a permis au recourant de reprendre son activité professionnelle dès octobre 2017. Par ailleurs, l’intéressé a déposé les plaques d’immatriculation GE 1______ de son véhicule en date du 11 novembre 2015 et en a demandé en vain la reprise en octobre 2017. Il résulte de ces éléments que lorsqu’il a entrepris ses démarches auprès du PCTN, le recourant n’exerçait plus son activité professionnelle de chauffeur de taxi et ne disposait plus de plaques d’immatriculation depuis près de deux ans, sans avoir jamais informé le PCTN de cette situation. Force est ainsi de constater qu’à la date d’entrée en vigueur de la LTVTC, le recourant n’exerçait plus de manière effective sa profession depuis plus de six mois. On ne peut considérer qu’il s’agirait d’une suspension provisoire d’activités au sens de l’art. 43 al. 2 LTVTC, mais bien, au vu des circonstances, d’une cessation d’activité d’une durée indéterminée pour un motif durable. En déposant ses plaques d’immatriculation, le recourant a d’ailleurs démontré l’avoir bien compris comme tel.</w:t>
      </w:r>
    </w:p>
    <w:p>
      <w:r>
        <w:t>Le recourant ne remplissait pas les conditions légales pour se voir délivrer la carte professionnelle et l’AUADP et n’a pu les obtenir qu’en celant sa situation personnelle à l’autorité compétente. Dans ces circonstances, le PCTN ne pouvait que révoquer tant la carte professionnelle que l’AUADP.</w:t>
      </w:r>
    </w:p>
    <w:p>
      <w:r>
        <w:t>Mal fondé, le recours sera rejeté.</w:t>
      </w:r>
    </w:p>
    <w:p>
      <w:r>
        <w:rPr>
          <w:b/>
        </w:rPr>
        <w:t>E. 6</w:t>
      </w:r>
    </w:p>
    <w:p>
      <w:r>
        <w:t>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Thierry TANQUEREL, Manuel de droit administratif, 2e éd. 2018, n. 1367 ; Jacques DUBEY/Jean-Baptiste ZUFFEREY, Droit administratif général, 2014,</w:t>
      </w:r>
    </w:p>
    <w:p>
      <w:r>
        <w:t>- 7/9 - A/1169/2018 n. 2084 ; Pierre MOOR/Étienne POLTIER, Droit administratif, vol. 2, 3ème éd., 2011, p. 748 n. 5.7.2.3 ;).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DUBEY/Jean-Baptiste ZUFFEREY, op. cit., p. 734 n. 2086 ; François BELLANGER, La qualité pour recourir, in François BELLANGER/ Thierry TANQUEREL, Le contentieux administratif, 2013, p. 121) ou lorsqu’une décision n’est pas susceptible de se renouveler mais que les intérêts des recourants sont particulièrement touchés avec des effets qui vont perdurer (ATF 136 II 101 ; 135 I 79).</w:t>
      </w:r>
    </w:p>
    <w:p>
      <w:r>
        <w:t>En l’espèce, le recourant a renoncé à reprendre les plaques d’immatriculation pour un véhicule professionnel. Selon l’art. 10 LTVTC, les AUADP sont liées aux immatriculations. Ayant renoncé à l’immatriculation, le recourant ne peut prétendre à la délivrance d’une telle autorisation. Il n’a ainsi plus d’intérêt à ce qu’il soit statué sur son recours, faute d’objet. Les conditions exceptionnelles pour qu’il soit renoncé à l’exigence de l’intérêt actuel n’étant en outre pas réalisées, il sera constaté qu’il est devenu sans objet.</w:t>
      </w:r>
    </w:p>
    <w:p>
      <w:r>
        <w:rPr>
          <w:b/>
        </w:rPr>
        <w:t>E. 7</w:t>
      </w:r>
    </w:p>
    <w:p>
      <w:r>
        <w:t>Vu l’issue du litige un émolument de CHF 500.- sera mis à la charge du recourant qui succombe (art. 87 al. 1 LPA) et aucune indemnité ne lui sera allouée (art. 87 al. 2 LPA).</w:t>
      </w:r>
    </w:p>
    <w:p>
      <w:r>
        <w:t>La chambre ayant statué au fond, il n’y a plus lieu de se prononcer sur la demande de restitution d’effet suspensif. * * * * *</w:t>
      </w:r>
    </w:p>
    <w:p>
      <w:r>
        <w:t>- 8/9 - A/1169/2018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