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ATA/213/2008 vom 6. Mai 2008</w:t>
      </w:r>
    </w:p>
    <w:p>
      <w:r>
        <w:t>GE Cour de justice, 2008-05-06, FR</w:t>
      </w:r>
    </w:p>
    <w:p>
      <w:r>
        <w:rPr>
          <w:b/>
        </w:rPr>
        <w:t xml:space="preserve">Quelle: </w:t>
      </w:r>
      <w:r>
        <w:t>https://mcp.opencaselaw.ch/entscheid/ge_gerichte_ATA_213_2008</w:t>
      </w:r>
    </w:p>
    <w:p>
      <w:r>
        <w:t>FR: GE_GERICHTE ATA/213/2008 du 6 mai 2008</w:t>
      </w:r>
    </w:p>
    <w:p>
      <w:r>
        <w:t>IT: GE_GERICHTE ATA/213/2008 del 6 maggio 2008</w:t>
      </w:r>
    </w:p>
    <w:p>
      <w:pPr>
        <w:pStyle w:val="Heading2"/>
      </w:pPr>
      <w:r>
        <w:t>Regeste</w:t>
      </w:r>
    </w:p>
    <w:p>
      <w:r>
        <w:t>Résumé: Impôt fédéral direct. La déduction pour perte de sous-location demandée par les recourants n'est pas admissible, car elle ne ressort d'aucune comptabilité personnelle qui garantirait un enregistrement complet et fiable des revenus et de la fortune commerciale permettant à l'administration de vérifier les opérations. En outre et contrairement aux allégations des contribuables, il n'apparait pas que des revenus aient été taxés deux années consécutives, ni doublement imposés dans des postes différents d'un même bordereau. Rejet du recours.</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1er let. a de la loi sur la procédure administrative du 12 septembre 1985 - LPA - E 5 10).</w:t>
      </w:r>
    </w:p>
    <w:p>
      <w:r>
        <w:rPr>
          <w:b/>
        </w:rPr>
        <w:t>E. 2</w:t>
      </w:r>
    </w:p>
    <w:p>
      <w:r>
        <w:t>Les recourants affirment que la perte de sous-location de CHF 14'126.- doit être déduite de leur revenu brut pour l'IFD 2001.</w:t>
      </w:r>
    </w:p>
    <w:p>
      <w:r>
        <w:t>a. Selon l'article 27 alinéa 1er LIFD, les contribuables exerçant une activité lucrative indépendante peuvent déduire les frais qui sont justifiés par l'usage commercial ou professionnel. Tel est le cas notamment des pertes effectives sur des éléments de la fortune commerciale, à condition qu'elles aient été comptabilisées (art. 27 al. 2 let. b LIFD). Ainsi, les pertes provenant d'une activité lucrative indépendante sont déductibles à la condition qu'elles ressortent d'une comptabilité personnelle qui garantit un enregistrement complet et fiable des revenus et de la fortune commerciale permettant à l'administration de vérifier les opérations (X. OBERSON, Droit fiscal suisse, 3e éd., Bâle 2007, n° 250 p. 147).</w:t>
      </w:r>
    </w:p>
    <w:p>
      <w:r>
        <w:t>b. D'après la jurisprudence, la notion d'activité lucrative indépendante est une notion de droit fiscal qui n'est pas définie clairement dans la pratique, eu égard aux états de fait diversifiés auxquels elle doit s'appliquer (Arrêt du Tribunal fédéral 2A.40/2003 du 12 septembre 2003, consid. 2.2). De manière générale, on y englobe toute activité par laquelle un entrepreneur participe à la vie économique à ses propres risques, avec l'engagement de travail et de capital, selon une organisation librement choisie, et avec l'intention de réaliser un bénéfice (ATF 125 II 113 consid. 5b p. 120 ; 121 I 259 consid. 3c p. 263). Une activité lucrative indépendante peut être exercée à titre principal ou accessoire, être durable ou temporaire (ATA/258/2007 du 22 mai 2007).</w:t>
      </w:r>
    </w:p>
    <w:p>
      <w:r>
        <w:t>En l'espèce, les revenus provenant de la sous-location d'un logement dont les contribuables sont actionnaires-locataires ne constituent pas une activité commerciale et la condition de tenue d'une comptabilité n'est manifestement pas réalisée. Bien au contraire, les recourants n'ont pas même joint à leur déclaration fiscale de documents justifiant les charges alléguées. La perte nette de CHF 14'126.- a donc été écartée à juste titre par l'AFC-GE.</w:t>
      </w:r>
    </w:p>
    <w:p>
      <w:r>
        <w:t>Par conséquent, ce grief sera rejeté.</w:t>
      </w:r>
    </w:p>
    <w:p>
      <w:r>
        <w:rPr>
          <w:b/>
        </w:rPr>
        <w:t>E. 3</w:t>
      </w:r>
    </w:p>
    <w:p>
      <w:r>
        <w:t>Les recourants soutiennent que le dividende de liquidation de la SI M______, imposé dans le poste "autres revenus" de l'avis de taxation IFD 2001 à hauteur de CHF 7'404.-, l'a aussi été dans le bordereau IFD 2002, dans le poste "successions non partagées".</w:t>
      </w:r>
    </w:p>
    <w:p>
      <w:r>
        <w:t>- 7/9 - A/2892/2007</w:t>
      </w:r>
    </w:p>
    <w:p>
      <w:r>
        <w:rPr>
          <w:b/>
        </w:rPr>
        <w:t>E. 4</w:t>
      </w:r>
    </w:p>
    <w:p>
      <w:r>
        <w:t>a. En matière administrative, les faits doivent en principe être établis d’office et, dans la mesure où l’on peut raisonnablement exiger de l’autorité qu’elle procède à cette recherche, les règles sur la répartition du fardeau de la preuve ne s’appliquent pas. Il n’en demeure pas moins que, lorsque les preuves font défaut, ou si l’on ne peut raisonnablement exiger de l’autorité qu’elle les recueille, la règle de l’article 8 du Code civil du 10 décembre 1907 (CC - RS 210) est applicable par analogie : pour les faits constitutifs d’un droit, le fardeau de la preuve incombe à celui qui entend se prévaloir de ce droit (Arrêt du Tribunal fédéral 5A.3/1999 consid. 5a du 18 janvier 2000 ; ATA/459/2003 du 10 juin 2003 ; ATF 112 Ib 67 ; P. MOOR, Droit administratif, Berne 1991, vol II, p. 178 ; B. KNAPP, Précis de droit administratif, 4ème édition, n° 2021 et les références citées).</w:t>
      </w:r>
    </w:p>
    <w:p>
      <w:r>
        <w:t>b. En cas de dissolution d'une société immobilière fondée avant le 1er janvier 1995, l’impôt sur l'excédent de liquidation obtenu par l'actionnaire est réduit de 75 % (art. 207 al. 1er et 2 LIFD). La liquidation et la radiation de la société immobilière doivent intervenir au plus tard au 31 décembre 2003 (art. 207 al. 3 LIFD).</w:t>
      </w:r>
    </w:p>
    <w:p>
      <w:r>
        <w:rPr>
          <w:b/>
        </w:rPr>
        <w:t>E. 5</w:t>
      </w:r>
    </w:p>
    <w:p>
      <w:r>
        <w:t>En l'espèce, le montant retenu par l'AFC-GE dans le poste des successions non partagées (CHF 131'021.-) ainsi que les pièces versées au dossier ne permettent pas de déterminer de façon certaine si le dividende en question (CHF 29'617.-, dont seuls 25 % doivent être imposés, soit CHF 7'404.-) est pris en compte dans le bordereau IFD 2002, qui est entré en force. Toutefois, il découle de la mention de l'article 207 LIFD sur la déclaration fiscale 2002 des recourants, en marge du poste "successions non partagées", que ces CHF 7'404.- ne font pas partie des CHF 131'021.- retenus par l'administration. En effet, dans le cas contraire, le montant pour le taux d'imposition se serait élevé à CHF 153'234.-, soit CHF 131'021.-, auquel aurait été ajouté 75 % du dividende de CHF 29'617.-, soit CHF 22'213.-.</w:t>
      </w:r>
    </w:p>
    <w:p>
      <w:r>
        <w:t>De plus, le comportement des contribuables est contradictoire : ils critiquent le principe de l'imposition de ce dividende pour l'IFD 2001, alors qu'ils en ont seulement contesté la quotité s'agissant de l'ICC 2001. Cet argument, soulevé par l'AFC-GE dans sa réponse du 27 septembre 2007, a d'ailleurs été éludé par les recourants dans leur réplique du 11 décembre 2007.</w:t>
      </w:r>
    </w:p>
    <w:p>
      <w:r>
        <w:t>L'ensemble de ces éléments fait apparaître que le dividende de liquidation de cette SI n'a pas été imposé une seconde fois dans l'avis de taxation IFD 2002. Pour le surplus, le tribunal de céans n'entrera pas en matière s'agissant de la violation du principe de l'étanchéité des exercices, les recourants n'ayant pas contesté ce point pour l'ICC 2001.</w:t>
      </w:r>
    </w:p>
    <w:p>
      <w:r>
        <w:rPr>
          <w:b/>
        </w:rPr>
        <w:t>E. 6</w:t>
      </w:r>
    </w:p>
    <w:p>
      <w:r>
        <w:t>Les recourants allèguent enfin que la valeur locative de l'immeuble sis Florissant ______ a été imposée à la fois dans le poste des successions non</w:t>
      </w:r>
    </w:p>
    <w:p>
      <w:r>
        <w:t>- 8/9 - A/2892/2007 partagées et dans celui des revenus immobiliers du bordereau rectificatif IFD 2001.</w:t>
      </w:r>
    </w:p>
    <w:p>
      <w:r>
        <w:t>Les calculs sur lesquels les contribuables s'appuient sont manifestement erronés. En effet, ils retiennent pour la totalité de la succession un revenu immobilier net de CHF 1'142'735.-, alors que ce montant s'élevait à CHF 1'096'845.- dans la déclaration 2001 de l'hoirie. Il ressort en outre de la justification apportée par l'AFC-GE le 4 août 2006 que la valeur locative de Florissant ______ a bien été retranchée du montant des successions non partagées, au même titre que les revenus des autres immeubles de la masse successorale. Selon le calcul de l'administration, la part du revenu immobilier net attribuée à M. S______ s'élevait à CHF 136'995.-, soit 1/8e de CHF 1'095'960.-, ce montant étant plus proche de celui figurant dans la déclaration 2001 de l'hoirie que celui allégué par les recourants.</w:t>
      </w:r>
    </w:p>
    <w:p>
      <w:r>
        <w:t>La valeur locative de Florissant ______ n'a donc pas été doublement imposée.</w:t>
      </w:r>
    </w:p>
    <w:p>
      <w:r>
        <w:rPr>
          <w:b/>
        </w:rPr>
        <w:t>E. 7</w:t>
      </w:r>
    </w:p>
    <w:p>
      <w:r>
        <w:t>En tous points mal fondé, le recours sera rejeté. Un émolument de CHF 2'000.- sera mis à la charge des recourants, pris conjointement et solidairement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