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ATA/212/2018 vom 6. März 2018</w:t>
      </w:r>
    </w:p>
    <w:p>
      <w:r>
        <w:t>GE Cour de justice, 2018-03-06, FR</w:t>
      </w:r>
    </w:p>
    <w:p>
      <w:r>
        <w:rPr>
          <w:b/>
        </w:rPr>
        <w:t xml:space="preserve">Quelle: </w:t>
      </w:r>
      <w:r>
        <w:t>https://mcp.opencaselaw.ch/entscheid/ge_gerichte_ATA_212_2018</w:t>
      </w:r>
    </w:p>
    <w:p>
      <w:r>
        <w:t>FR: GE_GERICHTE ATA/212/2018 du 6 mars 2018</w:t>
      </w:r>
    </w:p>
    <w:p>
      <w:r>
        <w:t>IT: GE_GERICHTE ATA/212/2018 del 6 marzo 2018</w:t>
      </w:r>
    </w:p>
    <w:p>
      <w:pPr>
        <w:pStyle w:val="Heading2"/>
      </w:pPr>
      <w:r>
        <w:t>Erwägungen</w:t>
      </w:r>
    </w:p>
    <w:p>
      <w:r>
        <w:rPr>
          <w:b/>
        </w:rPr>
        <w:t>E. 12</w:t>
      </w:r>
    </w:p>
    <w:p>
      <w:r>
        <w:t>septembre 1985 - LPA - E 5 10). 2)</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3) a. Selon l'art. 22 al. 1 LAVI, la victime a droit à une réparation morale lorsque la gravité de l'atteinte le justifie ; les art. 47 et 49 de la loi fédérale du 30 mars 1911 complétant le Code civil suisse (CO – Code des obligations - RS 220) s'appliquent par analogie. Au terme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w:t>
      </w:r>
    </w:p>
    <w:p>
      <w:r>
        <w:t>Le système d'indemnisation du tort moral prévu par la LAVI, financé par la collectivité publique, est subsidiaire par rapport aux autres possibilités d'obtenir réparation dont la victime dispose déjà (art. 4 LAVI ; ATF 131 II 121 consid. 2 ; FF 2005 6683 p. 6724).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w:t>
      </w:r>
    </w:p>
    <w:p>
      <w:r>
        <w:t>- 5/8 - A/2539/2017</w:t>
      </w:r>
    </w:p>
    <w:p>
      <w:r>
        <w:t>Par ailleurs, le législateur n'a pas voulu assurer à la victime une réparation pleine, entière et inconditionnelle du dommage qu'elle avait subi (ATF 131 II 121 consid. 2.2 ; 129 II 312 consid. 2.3). Ce caractère incomplet est particulièrement marqué en ce qui concerne la réparation du tort moral, qui se rapproche d'une allocation ex aequo et bono (ATF 132 II 117 consid. 2.2.4 et 2.4.3 ; arrêts du Tribunal fédéral 1C_244/2015 du 7 août 2015 consid. 4.1). L’art. 23 LAVI prévoit d’ailleurs un plafonnement à CHF 70'000.- de l’indemnisation de la victime pour tort moral. Le juge dispose d’une large liberté d'appréciation au juge pour déterminer la somme équitable dans les limites de ce cadre (ATF 117 II 60 ; 116 II 299 consid. 5.a). L'indemnisation pour tort moral échappe à toute fixation selon des critères mathématiques. Le juge en fixera le montant proportionnellement à la gravité de l’atteinte et évitera que la somme accordée n’apparaisse dérisoire compte tenu de la possibilité d’adoucir la douleur morale de manière sensible par le versement d’une somme d’argent (ATF 137 III 303 consid. 2.2.2 ; 130 III 699 consid. 5.1 ; 129 IV 22 consid. 7.2 ; 118 II 410).</w:t>
      </w:r>
    </w:p>
    <w:p>
      <w:r>
        <w:t>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 Blanca ANABITARTE/Sandra MÜLLER GMÜNDER, La pratique en matière de réparation morale à titre d’aide aux victimes – Fixation des montants de la réparation morale selon la LAVI révisée, in Jusletter 8 juin 2015, p. 3 s.).</w:t>
      </w:r>
    </w:p>
    <w:p>
      <w:r>
        <w:t>b. L'autorité LAVI est en principe liée par les faits établis au pénal (ATF 129 II 312 consid. 2.8). Par ailleurs, le fait que la victime ne se soit pas soumise à un traitement médical ne veut pas dire que l'agression n'a pas eu de conséquences importantes pour elle (ATA/71/2013 du 6 février 2013 consid. 10a ; ATA M. du 30 mai 1995, cité in Valérie MONTANI/Olivier BINDSCHEDLER, la jurisprudence rendue en 1995 par le Tribunal administratif et le Conseil d'État genevois, SJ 1997 17-45, p. 22 s. n. 23). 4)</w:t>
      </w:r>
    </w:p>
    <w:p>
      <w:r>
        <w:t>En l’espèce, l’instance LAVI a écarté les prétentions de la recourante aux motifs que l’atteinte subie n’atteignait pas le degré de gravité exigé, que la recourante ne présentait pas de séquelles durables, et que les faits s’étaient déroulés à l’étranger.</w:t>
      </w:r>
    </w:p>
    <w:p>
      <w:r>
        <w:t>Il ressort du jugement du Tribunal de police, qui lie sur ce point la chambre administrative, que l’auteur s’est livré à de multiples reprises entre janvier à avril 2016 – s’agissant des faits qui se sont déroulés à Genève – à des actes de violences physiques et psychiques sur la recourante, qu’il a contrainte à la mendicité, la traitant comme une marchandise, exploitant sa situation de faiblesse, par pur appât du gain.</w:t>
      </w:r>
    </w:p>
    <w:p>
      <w:r>
        <w:t>- 6/8 - A/2539/2017</w:t>
      </w:r>
    </w:p>
    <w:p>
      <w:r>
        <w:t>Le juge pénal a fixé le montant de l’indemnité de la recourante pour tort moral fondée sur l’art. 47 CO en tenant compte des souffrances et atteintes importantes dont avait été victime la recourante. Il a souligné la gravité des faits et qualifié d’importantes les souffrances et atteintes subies par celle-ci à sa liberté, sa dignité et son intégrité tant physique que psychique.</w:t>
      </w:r>
    </w:p>
    <w:p>
      <w:r>
        <w:t>Rien ne justifie de s’écarter de cette appréciation. Les actes de violences ont été nombreux et se sont répétés sur une durée de plus de trois mois. Il s’agissait de violences tant physiques que psychiques. Certes, les certificats médicaux ne se prononcent pas sur l’origine des cicatrices et maux physiques constatés, et le neurologue n’a pas pu établir l’étiologie des troubles cognitifs et comportementaux de la recourante. Toutefois, le fait que le handicap mental préexistant de la recourante ne permette pas d’évaluer les séquelles psychiques subies en raison des actes dont elle a été victime ne saurait justifier que le caractère grave et durable des atteintes soit nié. Un tel raisonnement viendrait à nier à une personne atteinte dans sa santé mentale et victime de violences psychiques toute prétention pour tort moral fondée sur l’art. 22 LAVI pour des motifs inhérents à sa personnalité, le handicap préexistant rendant l’établissement du degré des souffrances subies et de leurs séquelles sur la santé mentale très difficile, voire impossible. Dans une telle situation, la gravité des souffrances endurées et l’existence d’éventuelles séquelles psychiques durables ne sauraient être écartées du seul fait de l’absence de rapports médicaux les établissant.</w:t>
      </w:r>
    </w:p>
    <w:p>
      <w:r>
        <w:t>Les atteintes subies par la recourante à sa liberté, sa dignité et son intégrité tant physique que psychique sont importantes. Comme exposé plus haut, la recourante a été entravée dans sa liberté par des actes réguliers de violences physiques et psychiques, elle a été frappée à de multiples reprises, y compris avec des objets, et son handicap mental a été exploité à des fins de mendicité. Des faits d’une telle gravité sont susceptibles, selon le cours ordinaire des choses et l’expérience générale de la vie, d’entraîner une souffrance morale considérable dont les effets perdurent au-delà de leur commission. Lors de l’audience de confrontation au Ministère public, la recourante a manifesté une crainte intense, tremblant et étant tétanisée par la présence de l’auteur, qui se trouvait pourtant derrière une vitre sans tain. Même lorsqu’elle n’était plus confrontée à l’auteur des infractions, la recourante est demeurée dans un état de crainte. La directrice du foyer l’ayant accueillie a, en effet, relevé qu’un simple bruit faisait peur à la recourante et que dès que quelqu’un élevait la voix, celle-ci pensait qu’elle allait être frappée et mettait les mains devant son visage pour se protéger. Ces éléments permettent de conclure que les actes subis par la recourante ont induit pour elle une souffrance morale, dont les effets présentent un caractère durable.</w:t>
      </w:r>
    </w:p>
    <w:p>
      <w:r>
        <w:t>Enfin, si certes une partie des faits s’est déroulée hors de Suisse – la recourante ayant était forcée à mendier également dans d’autres pays –, le jugement pénal ne retient que la période durant laquelle les faits commis ont eu</w:t>
      </w:r>
    </w:p>
    <w:p>
      <w:r>
        <w:t>- 7/8 - A/2539/2017 lieu à Genève. Partant, l’instance précédente ne pouvait écarter les prétentions au motif qu’elles se rapportaient à des faits survenus à l’étranger.</w:t>
      </w:r>
    </w:p>
    <w:p>
      <w:r>
        <w:t>Au vu de ce qui précède, il convient d'admettre que les conditions justifiant le droit à une réparation morale au sens de l'art. 22 LAVI sont remplies. Il est encore relevé que l’expulsion de l’auteur vers la Roumanie rend vraisemblable que celui-ci ne versera pas l’indemnité qu’il a été condamné à payer, et qu’il ne peut être exigé de la recourante qu’elle procède au recouvrement de ce montant en Roumanie. L’instance LAVI n’a d’ailleurs pas retenu que la condition de la subsidiarité de son aide n’était pas remplie.</w:t>
      </w:r>
    </w:p>
    <w:p>
      <w:r>
        <w:t>Dès lors que la chambre de céans s'abstient de statuer en opportunité (ATA/273/2014 du 15 avril 2014 consid. 12), le dossier sera retourné à l'instance d'indemnisation LAVI afin qu'elle fixe le montant de l’indemnité en tort moral en faveur de la recourante. 5)</w:t>
      </w:r>
    </w:p>
    <w:p>
      <w:r>
        <w:t>La procédure est gratuite (art. 30 al. 1 LAVI). Une indemnité de procédure de CHF 500.-, à charge de l’État de Genève,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