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ATA/210/2012 vom 13. April 2012</w:t>
      </w:r>
    </w:p>
    <w:p>
      <w:r>
        <w:t>GE Cour de justice, 2012-04-13, FR</w:t>
      </w:r>
    </w:p>
    <w:p>
      <w:r>
        <w:rPr>
          <w:b/>
        </w:rPr>
        <w:t xml:space="preserve">Quelle: </w:t>
      </w:r>
      <w:r>
        <w:t>https://mcp.opencaselaw.ch/entscheid/ge_gerichte_ATA_210_2012</w:t>
      </w:r>
    </w:p>
    <w:p>
      <w:r>
        <w:t>FR: GE_GERICHTE ATA/210/2012 du 13 avril 2012</w:t>
      </w:r>
    </w:p>
    <w:p>
      <w:r>
        <w:t>IT: GE_GERICHTE ATA/210/2012 del 13 aprile 2012</w:t>
      </w:r>
    </w:p>
    <w:p>
      <w:pPr>
        <w:pStyle w:val="Heading2"/>
      </w:pPr>
      <w:r>
        <w:t>Erwägungen</w:t>
      </w:r>
    </w:p>
    <w:p>
      <w:r>
        <w:rPr>
          <w:b/>
        </w:rPr>
        <w:t>E. 1</w:t>
      </w:r>
    </w:p>
    <w:p>
      <w:r>
        <w:t>Interjeté le 5 avril 2012 contre le jugement du TAPI prononcé et communiqué à l’intéressé le 29 mars 2012, le recours l’a été en temps utile auprès de la juridiction compétente (art. 132 al. 2 de la loi sur l'organisation judiciaire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5 avril 2012, le délai de dix jours viendra à échéance au plus tôt le dimanche 15 avril 2012. En statuant ce jour, la chambre de céans respecte ce délai.</w:t>
      </w:r>
    </w:p>
    <w:p>
      <w:r>
        <w:rPr>
          <w:b/>
        </w:rPr>
        <w:t>E. 3</w:t>
      </w:r>
    </w:p>
    <w:p>
      <w:r>
        <w:t>Le recourant conclut à l'annulation du jugement attaqué, à l'annulation de son expulsion, et à la levée de la détention administrative. Or si la première et la troisième de ces conclusions sont recevables par-devant la chambre administrative, tel n'est pas le cas de la deuxième, dès lors que le principe du renvoi fait l'objet d'un arrêt du TAF entré en force de chose jugée (Arrêt du TAF E-5164/2011 du 23 septembre 2011), si bien que cette question ne saurait faire l'objet d'un nouvel examen à ce stade (ATF 130 II 56 consid. 2 ; Arrêt du Tribunal fédéral 2C_984/2010 du 20 janvier 2011, consid. 5), où seule l'exigibilité du renvoi peut être abordée.</w:t>
      </w:r>
    </w:p>
    <w:p>
      <w:r>
        <w:t>La conclusion tendant à l'annulation de l'expulsion sera dès lors déclarée irrecevable.</w:t>
      </w:r>
    </w:p>
    <w:p>
      <w:r>
        <w:rPr>
          <w:b/>
        </w:rPr>
        <w:t>E. 4</w:t>
      </w:r>
    </w:p>
    <w:p>
      <w:r>
        <w:t>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w:t>
      </w:r>
    </w:p>
    <w:p>
      <w:r>
        <w:rPr>
          <w:b/>
        </w:rPr>
        <w:t>E. 5</w:t>
      </w:r>
    </w:p>
    <w:p>
      <w:r>
        <w:t>L’étranger qui fait l’objet d’une décision de renvoi exécutoire peut être mis en détention administrative pour une durée de trente jours au plus si l’ODM n’est</w:t>
      </w:r>
    </w:p>
    <w:p>
      <w:r>
        <w:t>- 7/10 - A/973/2012 pas entré en matière sur sa demande d’asile au motif qu’il peut se rendre dans un Etat tiers compétent, en vertu d’un accord international, pour mener la procédure d’asile et de renvoi ou lorsque la décision de renvoi a été rendue en application de l’art. 64a LEtr (« cas Dublin »), cela pour autant que ladite décision ait été notifiée dans le canton d’exécution du renvoi et que celle-ci soit imminente (art. 76 al. 1 let. b ch. 6 LEtr et 34 al. 2 let. d LAsi).</w:t>
      </w:r>
    </w:p>
    <w:p>
      <w:r>
        <w:t>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En l’espèce, le recourant ne détient pas de papiers d’identité et ne peut donc en l’état être renvoyé dans son pays d’origine. Il fait l’objet d’une décision de non-entrée en matière et de renvoi, qui lui a été dûment notifiée, et contre laquelle il a interjeté un recours auprès du TAF, que ce dernier a rejeté. En application du règlement (CE) n° 343/2003 du Conseil de l’Europe du 18 février 2003 établissant des critères et mécanismes de détermination de l’Etat membre responsable de l’examen d’une demande d’asile présentée dans l’un des Etats membres par un ressortissant d’un pays tiers (règlement Dublin), le recourant ne peut ainsi être renvoyé que vers la Slovaquie, pays qui a d’ores et déjà accepté sa réadmission.</w:t>
      </w:r>
    </w:p>
    <w:p>
      <w:r>
        <w:t>Par ailleurs, tant les déclarations du recourant, qui dit s'opposer à son renvoi en Slovaquie et vouloir rester en Suisse, et ne se déclare d'accord de se rendre en Russie qu'après la fin de son traitement médical en Suisse, que ses actes, soit notamment la mobilité dont il a fait preuve à l'automne 2011 (immatriculation d'un véhicule, interpellations à Lausanne et à Fribourg, et déclarations à la police fribourgeoise selon lesquelles il s'est trouvé plusieurs fois en transit dans ce canton et s'est rendu notamment à Zurich) et son refus d'emprunter le vol prévu le 11 avril, suffisent à démontrer le risque de fuite et le refus d'obtempérer aux injonctions des autorités, sans même qu'il soit nécessaire d'aborder la question de sa disparition signalée début décembre 2011.</w:t>
      </w:r>
    </w:p>
    <w:p>
      <w:r>
        <w:t>- 8/10 - A/973/2012</w:t>
      </w:r>
    </w:p>
    <w:p>
      <w:r>
        <w:rPr>
          <w:b/>
        </w:rPr>
        <w:t>E. 6</w:t>
      </w:r>
    </w:p>
    <w:p>
      <w:r>
        <w:t>C'est ainsi à juste titre que le TAPI a admis que les conditions de la mise en détention administrative étaient réalisées, au sens de l'art. 76 al. 1 let. b ch. 3 et 4 LEtr.</w:t>
      </w:r>
    </w:p>
    <w:p>
      <w:r>
        <w:rPr>
          <w:b/>
        </w:rPr>
        <w:t>E. 7</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27 mars 2012. Les autorités administratives ont entrepris avec célérité les démarches nécessaires à l’exécution du renvoi, organisant un vol de retour le 4 avril 2012, annulé pour des raisons d'organisation, puis un autre le 11 avril 2012, auquel il a dû être renoncé en raison de l'opposition manifestée par le recourant. Face à cette situation, les autorités genevoises ont prévu un vol DEPA le 17 ou le 18 avril 2012. Le principe de célérité a ainsi été respecté.</w:t>
      </w:r>
    </w:p>
    <w:p>
      <w:r>
        <w:t>En outre, eu égard aux déclarations et au comportement du recourant tels que décrits ci-dessus, aucune mesure moins incisive n’aurait permis d’assurer la présence de l’intéressé le jour du vol, de sorte que la mesure est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quand bien même cette dernière disposition aurait pu également trouver application en l'espèce), respecte également la garantie constitutionnelle précitée.</w:t>
      </w:r>
    </w:p>
    <w:p>
      <w:r>
        <w:rPr>
          <w:b/>
        </w:rPr>
        <w:t>E. 8</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w:t>
      </w:r>
    </w:p>
    <w:p>
      <w:r>
        <w:t>- 9/10 - A/973/2012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consid. 5.3).</w:t>
      </w:r>
    </w:p>
    <w:p>
      <w:r>
        <w:rPr>
          <w:b/>
        </w:rPr>
        <w:t>E. 9</w:t>
      </w:r>
    </w:p>
    <w:p>
      <w:r>
        <w:t>En l’espèce, les pathologies dont souffre le recourant ne sont pas contestables, quand bien même son état dépressif n'a pas, à teneur du dossier, été confirmé par un spécialiste.</w:t>
      </w:r>
    </w:p>
    <w:p>
      <w:r>
        <w:t>Cela étant, aucun des certificats ne fait état d'un risque vital ou très grave en cas de renvoi dans un pays européen par hypothèse moins bien doté médicalement que la Suisse. Le TAF a du reste confirmé que le renvoi du recourant vers la Slovaquie était exigible (Arrêt du TAF E-5164/2011 du 23 septembre 2011), et le recours ne fait apparaître aucun élément nouveau à cet égard. Les statistiques publiques montrent au surplus que le système de santé slovaque ne se démarque pas négativement par rapport au reste de l'Europe (cf. http://apps.who.int/ nha/database/StandardReport.aspx?ID=REP_WEB_MINI_TEMPLATE_WEB_V ERSION&amp;COUNTRYKEY=84663 ; et http://epp.eurostat.ec.europa.eu/statistics_ explained/index.php/Healthcare_statistics). Enfin, les problèmes de santé du recourant n'ont nullement entravé ses nombreux déplacements en Europe (Russie, Ukraine, Slovaquie), et internes à la Suisse selon ses déclarations à la police fribourgeoise (cf. Arrêt du Tribunal fédéral 2C_625/2011 du 5 septembre 2011, consid. 4.1.5).</w:t>
      </w:r>
    </w:p>
    <w:p>
      <w:r>
        <w:t>Dès lors, c'est également à juste titre que le TAPI a retenu que le renvoi du recourant était exigible.</w:t>
      </w:r>
    </w:p>
    <w:p>
      <w:r>
        <w:rPr>
          <w:b/>
        </w:rPr>
        <w:t>E. 10</w:t>
      </w:r>
    </w:p>
    <w:p>
      <w:r>
        <w:t>Le recours sera ainsi rejeté dans la mesure de sa recevabilité.</w:t>
      </w:r>
    </w:p>
    <w:p>
      <w:r>
        <w:t>Aucun émolument ne sera perçu, la procédure étant gratuite (art. 12 du règlement sur les frais, émoluments et indemnités en procédure administrative du 30 juillet 1986 - RFPA - E 5 10.03). Vu l’issue du litige, il ne sera pas alloué d’indemnité de procédure (art. 87 al. 2 LPA).</w:t>
      </w:r>
    </w:p>
    <w:p>
      <w:r>
        <w:t>* * * * *</w:t>
      </w:r>
    </w:p>
    <w:p>
      <w:r>
        <w:t>- 10/10 - A/973/2012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