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ATA/20/2025 vom 7. Januar 2025</w:t>
      </w:r>
    </w:p>
    <w:p>
      <w:r>
        <w:t>GE Cour de justice, 2025-01-07, FR</w:t>
      </w:r>
    </w:p>
    <w:p>
      <w:r>
        <w:rPr>
          <w:b/>
        </w:rPr>
        <w:t xml:space="preserve">Quelle: </w:t>
      </w:r>
      <w:r>
        <w:t>https://mcp.opencaselaw.ch/entscheid/ge_gerichte_ATA_20_2025</w:t>
      </w:r>
    </w:p>
    <w:p>
      <w:r>
        <w:t>FR: GE_GERICHTE ATA/20/2025 du 7 janvier 2025</w:t>
      </w:r>
    </w:p>
    <w:p>
      <w:r>
        <w:t>IT: GE_GERICHTE ATA/20/2025 del 7 gennaio 2025</w:t>
      </w:r>
    </w:p>
    <w:p>
      <w:pPr>
        <w:pStyle w:val="Heading2"/>
      </w:pPr>
      <w:r>
        <w:t>Regeste</w:t>
      </w:r>
    </w:p>
    <w:p>
      <w:r>
        <w:t>Résumé: C'est en principe la situation découlant du jugement de divorce qui détermine quel parent bénéficie des déductions sociales relatives aux enfants et non les arrangements à bien plaire entre les parents. Si l'un d’eux verse une contribution d'entretien pour l’enfant, c’est en principe le parent qui reçoit cette contribution qui bénéficie de la déduction de l’article 39 al. 1 LIPP ou, si l'enfant est majeur, le parent qui fait ménage commun avec lui. Les parents peuvent se partager cette déduction s'ils participent tous deux à l'entretien de l'enfant. La déduction de l’article 35 al. 1 lettre a LIFD revient en principe au parent qui reçoit la pension alimentaire pour l’enfant et son partage entre les parents n’est prévu pour l’enfant mineur. Selon la pratique à Genève, le parent qui paie la contribution d’entretien d’un enfant majeur peut le cas échéant se prévaloir de la déduction de l'article 35 al. 1 lettre b LIFD.</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- 6/11 - A/1658/2023</w:t>
      </w:r>
    </w:p>
    <w:p>
      <w:r>
        <w:rPr>
          <w:b/>
        </w:rPr>
        <w:t>E. 2</w:t>
      </w:r>
    </w:p>
    <w:p>
      <w:r>
        <w:t>Le premier grief a trait à la déduction pour personne à charge admise par le TAPI pour l’IFD 2020 et 2021 en lien avec la fille aînée du contribuable. La demi-charge admise en relation avec celle-ci pour l’ICC 2020 et 2021 n’est pas litigieuse.</w:t>
      </w:r>
    </w:p>
    <w:p>
      <w:r>
        <w:rPr>
          <w:b/>
        </w:rPr>
        <w:t>E. 2.1</w:t>
      </w:r>
    </w:p>
    <w:p>
      <w:r>
        <w:t>Les déductions sociales et les barèmes ont pour but d’adapter, de manière schématique, la charge d’impôt à la situation personnelle et économique particulière de chaque catégorie de contribuables conformément au principe de l’imposition selon la capacité économique de l’art. 127 al. 2 de la Constitution fédérale de la Confédération suisse du 18 avril 1999 (Cst. - RS 101). La réglementation légale en matière de déductions comprend nécessairement un certain schématisme en raison de la multiplicité des situations individuelles à considérer, ce qui est toutefois, de manière générale, compatible avec les principes ancrés à l’art. 127 Cst. Le Tribunal fédéral a retenu à plusieurs reprises qu’il n’est pas réalisable, pour des raisons pratiques, de traiter chaque contribuable de façon exactement identique d’un point de vue mathématique et que,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À cela s’ajoute que les possibilités de comparer les différentes situations restent limitées (ATF 141 II 338 consid. 4.5 ; ATA/808/2018 du 7 août 2018).</w:t>
      </w:r>
    </w:p>
    <w:p>
      <w:r>
        <w:rPr>
          <w:b/>
        </w:rPr>
        <w:t>E. 2.2</w:t>
      </w:r>
    </w:p>
    <w:p>
      <w:r>
        <w:t>En matière fiscale, c’est l'autorité qui doit démontrer l'existence d'éléments créant ou augmentant la charge fiscale, tandis que le contribuable doit supporter le fardeau de la preuve des éléments qui réduisent ou éteignent son obligation d'impôts. Il appartient au contribuable non seulement d’alléguer ces derniers, mais encore d'en apporter la preuve et de supporter les conséquences de l'échec de cette preuve ; ces règles s'appliquent également à la procédure devant les autorités de recours (ATF 133 II 153 consid. 4.3 ; arrêt du Tribunal fédéral 2C_89/2014 du 26 novembre 2014 consid. 7.2 ; ATA/1197/2018 du 6 novembre 2018 consid. 3a).</w:t>
      </w:r>
    </w:p>
    <w:p>
      <w:r>
        <w:rPr>
          <w:b/>
        </w:rPr>
        <w:t>E. 2.3</w:t>
      </w:r>
    </w:p>
    <w:p>
      <w:r>
        <w:t>À teneur de l’art. 35 al. 1 de la loi fédérale sur l’impôt fédéral direct du 14 décembre 1990 (LIFD - RS 642.11), pour les années fiscales 2020 et 2021, CHF 6'500.- sont déduits du revenu pour chaque enfant mineur ou faisant un apprentissage ou des études, dont le contribuable assure l’entretien (let. a) ou pour chaque personne totalement ou partiellement incapable d’exercer une activité lucrative, à l’entretien de laquelle le contribuable pourvoit, à condition que son aide atteigne au moins le montant de la déduction (let. b). Lorsque l'un des parents verse une pension alimentaire aux fins d'entretien de l'enfant, le contribuable assurant l’entretien au sens de la let. a est la personne qui reçoit cette pension (ATF 133 II 305 consid. 8.4 ; Christine JAQUES, in Yves NOËL/Florence AUBRY GIRARDIN, Impôt fédéral direct, Commentaire de la LIFD, 2e éd., 2017, n. 26 ad art. 35 et références). Une répartition de la déduction entre les deux parents est admise s’ils sont imposés séparément, ne demandent pas la déduction d’une contribution d’entretien selon l’art. 33 al. 1 let. c LIFD et</w:t>
      </w:r>
    </w:p>
    <w:p>
      <w:r>
        <w:t>- 7/11 - A/1658/2023 exercent l’autorité parentale en commun, ce qui implique que l’enfant est mineur (art. 35 al. 1 let. a 2e phrase LIFD). Au moment de déterminer quel parent bénéficie des déductions sociales liées aux enfants et du taux d’imposition spécial, c’est en principe la répartition découlant du jugement de divorce qui doit être prise en compte et non les arrangements à bien plaire entre époux qui s’en écartent (ATF 131 II 553 consid. 3.5 ; arrêts du Tribunal fédéral 2C_544/2019 du 21 avril 2020 consid. 6.6 et 2C_122/2012 du 1er novembre 2012 consid. 4.1).</w:t>
      </w:r>
    </w:p>
    <w:p>
      <w:r>
        <w:rPr>
          <w:b/>
        </w:rPr>
        <w:t>E. 2.4</w:t>
      </w:r>
    </w:p>
    <w:p>
      <w:r>
        <w:t>Il découle de ce qui précède que le parent qui, selon le jugement de divorce, doit payer une contribution d’entretien pour un enfant majeur n’a droit à aucune déduction selon la let. a de l’art. 35 al. 1 LIFD. Le Tribunal fédéral admet toutefois que ce parent peut se prévaloir de la déduction pour personne nécessiteuse aux conditions de la let. b, si les deux parents contribuent à l’entretien de l’enfant majeur (Arch. 72, 468 = RDAF 2002 II 488, 491, ATF 133 II 305 et arrêts du Tribunal fédéral 2C_436/2010 du 16 septembre 2010 consid. 5.1.2 et 2C_905/2017 du 11 mars 2019 consid. 2.8 ; Christine JAQUES, op. cit., n. 32 ad art. 35 p. 806-807). La circulaire n° 30 relative à l'imposition des époux et de la famille selon la LIFD émise par l'administration fédérale des contributions préconise au contraire l’octroi de la déduction de la let. a au parent qui verse la contribution d’entretien et celle de la let. b à l’autre parent (ch. 14.10). Cette circulaire ne liant pas les administrations cantonales, l’AFC-GE indique avoir pour pratique d’octroyer la déduction pour enfant à charge selon l’art. 35 al. 1 let. a LIFD au parent qui héberge l’enfant et la déduction pour personne nécessiteuse selon la let. b au parent débirentier d’un enfant majeur, ce qui correspond à la jurisprudence précitée du Tribunal fédéral. Le contribuable qui se prévaut de la déduction de l’art. 35 al. 1 let. b LIFD doit démontrer que toutes les conditions sont réalisées, en particulier l’indigence de la personne soutenue et les sommes versées pour son entretien (Christine JAQUES, op. cit., n. 49 ad art. 35 et arrêts du Tribunal fédéral 2A.609/2003 du 27 octobre 2003 et 2C_421/2010 du 2 novembre 2010 consid. 2.1). Une personne est dans le besoin au sens de cette disposition lorsque, pour des motifs objectifs, elle n’est durablement pas en mesure de subvenir seule à son entretien et dépend dès lors de l’aide de tiers. Le soutien, qui doit atteindre CHF 6'500.- pour être déductible, peut être apporté en espèces ou en nature ; les prestations en nature peuvent consister en particulier à fournir l’hébergement et la nourriture (Christine JAQUES, op. cit., n. 42 ad art. 35 et références, notamment arrêt du Tribunal fédéral 2C_421/2010 précité consid. 2.1).</w:t>
      </w:r>
    </w:p>
    <w:p>
      <w:r>
        <w:rPr>
          <w:b/>
        </w:rPr>
        <w:t>E. 2.5</w:t>
      </w:r>
    </w:p>
    <w:p>
      <w:r>
        <w:t>En l’espèce, selon le jugement de divorce, l’intimé doit payer, en mains de la mère, une contribution d’entretien pour sa fille aînée jusqu’à l’âge de 25 ans en cas d’études. Il allègue qu’il ne verse plus cette contribution depuis août 2019, ce que l’AFC-GE ne conteste pas. Toutefois, le jugement de divorce n’a pas été modifié et l’intimé ne démontre pas l’existence, ni a fortiori la teneur, d’un accord avec son ex-épouse au sujet de l’entretien de leur fille. C’est par conséquent la situation découlant du jugement de divorce qui est déterminante. Il résulte de la jurisprudence</w:t>
      </w:r>
    </w:p>
    <w:p>
      <w:r>
        <w:t>- 8/11 - A/1658/2023 précitée qu’en tant que débiteur d’une contribution d’entretien en faveur de sa fille majeure, l’intimé n’a pas droit à la déduction pour enfant à charge prévue à l’art. 35 al. 1 let. a LIFD. L’intimé peut le cas échéant bénéficier de la déduction entière de la let. b. Toutefois, il n’allègue pas avoir versé au moins CHF 6'500.- pour l’entretien de sa fille aînée durant les périodes fiscales concernées. Cela ne résulte pas non plus du dossier. Il ne versait pas les contributions prévues par le jugement de divorce. L’ordre permanent de CHF 200.- par mois en faveur d’D______ ne représente qu’un total annuel de CHF 2'400.-. Selon l’AFC-GE, qui n’est pas contredite par le contribuable sur ce point, la jeune femme a reçu de son père un montant total de CHF 3'240.- en 2020 et de CHF 1'050.- en 2021. Quant à d’éventuelles prestations en nature, il ressort des registres de l’OCPM que D______ était domiciliée chez sa mère jusqu’en février 2022. Le domicile officiel d’une personne n’est certes pas nécessairement son lieu de résidence exclusif, comme dans le cas d’une garde alternée. Il incombait toutefois à l’intimé de prouver que sa fille résidait chez lui une semaine sur deux. Il n’a produit aucun document qui établit cet élément, à l’exception d’un courriel de sa fille daté du 11 mai 2023, dont la force probante est sujette à caution dans la mesure où c’est un document isolé, établi à la demande du père la veille du dépôt de son recours au TAPI. Il ressort d’autres pièces que D______ habitait chez sa mère et son beau-père et était à la charge de ces derniers. Dans sa propre déclaration fiscale 2020, D______ a expressément donné cette indication, en mentionnant aussi son adresse à la rue F______, adresse qui figure également sur le certificat de salaire de D______ joint à sa déclaration fiscale 2021. La déclaration et l’octroi d’une charge de famille entière en relation avec D______ par la mère de celle-ci pour les deux périodes fiscales concernées viennent corroborer ces éléments, sans que l’intimé n'apporte de preuve contraire. Dans sa réclamation, le contribuable avait bien demandé si un document de son ex-épouse confirmant ses dires pouvait être utile, mais il n’a pas produit un tel document et en particulier pas la réponse à son courriel adressé à son ex-épouse le 9 mai 2023. Force est ainsi de constater que l’intimé n’a pas démontré combien de temps D______ passait chez lui, ni par conséquent l’étendue des prestations en nature dont elle aurait bénéficié. L’intimé échoue donc à prouver qu’il a versé des sommes atteignant le montant minimum requis pour pouvoir les déduire en vertu de l’art. 35 al. 1 let. b LIFD. Le TAPI ne pouvait ainsi admettre la déduction pour personne à charge pour l’IFD 2020 et 2021 concernant D______. Ce grief sera admis et les bordereaux rectificatifs IFD 2020 et 2021 du 10 juillet 2023 confirmés sur ce point.</w:t>
      </w:r>
    </w:p>
    <w:p>
      <w:r>
        <w:t>- 9/11 - A/1658/2023</w:t>
      </w:r>
    </w:p>
    <w:p>
      <w:r>
        <w:rPr>
          <w:b/>
        </w:rPr>
        <w:t>E. 3</w:t>
      </w:r>
    </w:p>
    <w:p>
      <w:r>
        <w:t>Le deuxième grief concerne la déduction d’une demi-charge de famille pour l’ICC 2020 en relation avec la fille cadette, au lieu de la déduction de la contribution d’entretien de CHF 3'710.- admise selon le bordereau rectificatif du 10 juillet 2023.</w:t>
      </w:r>
    </w:p>
    <w:p>
      <w:r>
        <w:rPr>
          <w:b/>
        </w:rPr>
        <w:t>E. 3.1</w:t>
      </w:r>
    </w:p>
    <w:p>
      <w:r>
        <w:t>Sont déduits du revenu, pour l’année fiscale 2020, CHF 9'980.- pour chaque charge de famille ou CHF 4'990.- pour une demi-charge, sous réserve d’une réduction non pertinente en l’espèce ; lorsqu’une personne est à charge de plusieurs contribuables, la déduction est répartie entre eux (art. 39 al. 1 de la loi sur l'imposition des personnes physiques du 27 septembre 2009 - LIPP - D 3 08). Constitue une charge de famille, pour celui des parents qui en assure l’entretien, chaque enfant mineur sans activité lucrative ou dont le gain annuel ne dépasse pas, pour l’année 2020, CHF 15'303.- ou CHF 22'955.- pour une demi-charge (art. 39 al. 2 let. a LIPP). Selon l’information n° 2/2011 (page 3 et tableau A1 annexé), cette disposition s’interprète de la manière suivante : en cas de versement d'une pension alimentaire pour l’enfant, le parent qui assure l'entretien de l'enfant est celui qui bénéficie du versement de la pension ; en l’absence de pension alimentaire, la déduction revient au parent qui assure seul l’entretien de l’enfant ou aux deux parents de manière paritaire s’ils en assurent tous deux l'entretien. S’agissant d’un enfant majeur, c’est en principe le parent qui fait ménage commun avec l’enfant qui bénéficie de la déduction, mais celle-ci peut être partagée entre les parents s’ils participent tous deux à son entretien (information n° 2/2011 et tableau A3 annexé).</w:t>
      </w:r>
    </w:p>
    <w:p>
      <w:r>
        <w:rPr>
          <w:b/>
        </w:rPr>
        <w:t>E. 3.2</w:t>
      </w:r>
    </w:p>
    <w:p>
      <w:r>
        <w:t>En 2020, l’intimé devait payer une contribution à l’entretien de sa fille cadette en mains de la mère de celle-ci. Le jugement de divorce n’a pas été modifié et le contribuable n’a pas démontré l’existence d’un accord avec son ex-épouse réglant différemment l’entretien de leur fille. C’est donc le jugement de divorce qui est déterminant. Par conséquent, c’est la mère qui, en tant que parent créancier de la pension alimentaire, a droit à la déduction prévue à l’art. 39 al. 1 LIPP et non l’intimé. Les conditions pour un partage de la déduction pendant la minorité de l’enfant ne sont pas réunies, faute d’autorité parentale conjointe. Le TAPI ne peut ainsi être suivi en tant qu’il a admis une demi-charge en ICC 2020 pour la cadette. Le jugement sera donc annulé sur ce point.</w:t>
      </w:r>
    </w:p>
    <w:p>
      <w:r>
        <w:rPr>
          <w:b/>
        </w:rPr>
        <w:t>E. 4</w:t>
      </w:r>
    </w:p>
    <w:p>
      <w:r>
        <w:t>Reste à examiner si le contribuable pouvait déduire, pour l’ICC 2020, un montant au titre de contribution à l’entretien de E______.</w:t>
      </w:r>
    </w:p>
    <w:p>
      <w:r>
        <w:rPr>
          <w:b/>
        </w:rPr>
        <w:t>E. 4.1</w:t>
      </w:r>
    </w:p>
    <w:p>
      <w:r>
        <w:t>Les contributions d’entretien versées à l’un des parents pour l’enfant mineur sur lequel il a l’autorité parentale sont déduites du revenu, à l’exclusion des prestations versées en exécution d’une obligation d’entretien ou d’assistance fondée sur le droit de la famille (art. 33 LIPP). Les contributions d’entretien sont déductibles si elles sont versées effectivement et en mains de l’autre parent (arrêts du Tribunal fédéral 2C_585/2014 du 13 février 2015 consid. 5.1 et 2A.219/2005 du 20 avril 2005 consid. 2.2 ; ATA/459/2024 du 9 avril 2024 consid. 3.1).</w:t>
      </w:r>
    </w:p>
    <w:p>
      <w:r>
        <w:t>- 10/11 - A/1658/2023</w:t>
      </w:r>
    </w:p>
    <w:p>
      <w:r>
        <w:rPr>
          <w:b/>
        </w:rPr>
        <w:t>E. 4.2</w:t>
      </w:r>
    </w:p>
    <w:p>
      <w:r>
        <w:t>Le montant de CHF 3'710.- reçu en 2020 par E______, encore mineure, et celui de CHF 3'300.- reçu en 2021 ne sont pas prévus dans le jugement de divorce et ils n’ont pas été versés en mains de la mère mais directement à la jeune femme. Ces montants ne répondent ainsi pas aux critères de déductibilité précités. Toutefois, la recourante a, à bien plaire, admis la déduction de ces montants pour l’ICC 2020 et l’IFD 2020 et 2021 et rectifié les avis de taxation et bordereaux en ce sens en juillet 2023. L’AFC-GE ayant dès lors, en cours de procédure devant le TAPI, acquiescé à la déduction du montant de CHF 3'710.- pour l’ICC 2020, celle- ci sera admise. Le recours sera admis sur ce point également. Il y a lieu de préciser que le TAPI a expressément confirmé la demi-charge pour l’ICC 2021, qui a été admise selon le bordereau rectificatif du 25 août 2023 compte tenu de la majorité de E______ intervenue fin 2021. Comme relevé à juste titre par la recourante, ce n’est donc pas le bordereau de juillet 2023 qui doit être confirmé s’agissant de l’ICC 2021, comme l’indique le TAPI par inadvertance, mais celui du 25 août 2023, et le bordereau du 10 juillet 2023 pour l’ICC 2020.</w:t>
      </w:r>
    </w:p>
    <w:p>
      <w:r>
        <w:rPr>
          <w:b/>
        </w:rPr>
        <w:t>E. 5</w:t>
      </w:r>
    </w:p>
    <w:p>
      <w:r>
        <w:t>Au vu de l'issue du litige, un émolument de CHF 500.- sera mis à la charge de l’intimé, qui succombe,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