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ATA/207/2021 vom 23. Februar 2021</w:t>
      </w:r>
    </w:p>
    <w:p>
      <w:r>
        <w:t>GE Cour de justice, 2021-02-23, FR</w:t>
      </w:r>
    </w:p>
    <w:p>
      <w:r>
        <w:rPr>
          <w:b/>
        </w:rPr>
        <w:t xml:space="preserve">Quelle: </w:t>
      </w:r>
      <w:r>
        <w:t>https://mcp.opencaselaw.ch/entscheid/ge_gerichte_ATA_207_2021</w:t>
      </w:r>
    </w:p>
    <w:p>
      <w:r>
        <w:t>FR: GE_GERICHTE ATA/207/2021 du 23 février 2021</w:t>
      </w:r>
    </w:p>
    <w:p>
      <w:r>
        <w:t>IT: GE_GERICHTE ATA/207/2021 del 23 febbraio 2021</w:t>
      </w:r>
    </w:p>
    <w:p>
      <w:pPr>
        <w:pStyle w:val="Heading2"/>
      </w:pPr>
      <w:r>
        <w:t>Regeste</w:t>
      </w:r>
    </w:p>
    <w:p>
      <w:r>
        <w:t>Résumé: Recours contre un refus d’autorisation de construire complémentaire et une amende infligée par le département du territoire dans le cadre de l’aménagement de chambres dans les combles d’un hôtel. La décision est notamment fondée sur le non-respect du gabarit et des règles en matière de protection contre les incendies. Examen de l’art. 38 RCI au regard des principes de la légalité et de la séparation des pouvoirs. Recours rejeté.</w:t>
      </w:r>
    </w:p>
    <w:p>
      <w:pPr>
        <w:pStyle w:val="Heading2"/>
      </w:pPr>
      <w:r>
        <w:t>Erwägungen</w:t>
      </w:r>
    </w:p>
    <w:p>
      <w:r>
        <w:rPr>
          <w:b/>
        </w:rPr>
        <w:t>E. 12</w:t>
      </w:r>
    </w:p>
    <w:p>
      <w:r>
        <w:t>septembre 1985 - LPA - E 5 10). 2)</w:t>
      </w:r>
    </w:p>
    <w:p>
      <w:r>
        <w:t>Les recourants se plaignent de violation de leur droit d'être entendus sous différents aspects.</w:t>
      </w:r>
    </w:p>
    <w:p>
      <w:r>
        <w:t>- 11/22 - A/4119/2019</w:t>
      </w:r>
    </w:p>
    <w:p>
      <w:r>
        <w:t>a. Tel qu'il est garanti par l'art. 29 al. 2 de la Constitution fédérale de la Confédération suisse du 18 avril 1999 (Cst. - RS 101), le droit d'être entendu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(ATF 142 III 48 consid. 4.1.1 ; 144 I 11 consid. 5.3). Ce droit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w:t>
      </w:r>
    </w:p>
    <w:p>
      <w:r>
        <w:t>b. Le droit d'être entendu n'implique pas non plus une audition personnelle de l'intéressé, celui-ci devant simplement disposer d'une occasion de se déterminer sur les éléments propres à influer sur l'issue de la cause (art. 41 LPA ; ATF 140 I 68 consid. 9.6 ; arrêt du Tribunal fédéral 1C_83/2019 du 29 janvier 2020 consid. 3.2 ; ATA/484/2020 du 19 mai 2020). Enfin, le droit d'être entendu ne contient pas d'obligation de discuter tous les griefs et moyens de preuve du recourant ; il suffit que le juge discute ceux qui sont pertinents pour l'issue du litige (ATF 145 IV 99 consid. 3.1 ; 141 III 28 consid. 3.2.4).</w:t>
      </w:r>
    </w:p>
    <w:p>
      <w:r>
        <w:t>c. Le droit d’être entendu comprend, notamment pour l’autorité l’obligation de motiver sa décision. Il suffit toutefois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 137 II 266 consid. 3.2 ; 136 I 229 consid. 5.2). La motivation peut pour le reste être implicite et résulter des différents considérants de la décision (arrêts du Tribunal fédéral 6B_970/2013 du 24 juin 2014 consid. 3.1 et 6B_1193/2013 du 11 février 2014 consid. 1.2).</w:t>
      </w:r>
    </w:p>
    <w:p>
      <w:r>
        <w:t>d. En l'espèce, contrairement à ce que soutiennent les recourants et conformément à la jurisprudence susmentionnée, le TAPI n’avait pas l’obligation de discuter tous les griefs invoqués.</w:t>
      </w:r>
    </w:p>
    <w:p>
      <w:r>
        <w:t>Par ailleurs, il appert que l’absence de motivation autour d’un grief ne les a pas empêchés de se rendre compte de la portée de l’acte querellé, preuve en est qu’ils ont recouru contre celui-ci et qu’ils ont pu faire valoir tous les griefs utiles. Partant, sur ce point aucune violation du droit d’être entendus des recourant n’est à relever.</w:t>
      </w:r>
    </w:p>
    <w:p>
      <w:r>
        <w:t>- 12/22 - A/4119/2019</w:t>
      </w:r>
    </w:p>
    <w:p>
      <w:r>
        <w:t>Ces derniers sollicitent par-devant la chambre de céans différents actes d’instruction, soit l’audition de M. F______ ainsi qu’un transport sur place. Or, ils ont pu exposer leur situation par écrit à plusieurs reprises tant devant le TAPI que devant la chambre de céans et détailler leurs argumentaires au travers de leur acte de recours ainsi que de leur réplique et produire les pièces pertinentes à l’appui de leurs positions. En sus, les recourants n’expliquent pas en quoi l’audition de M. F______ et le transport sur place permettraient d’apporter un élément supplémentaire et pertinent par rapport aux pièces produites ou à leurs observations écrites.</w:t>
      </w:r>
    </w:p>
    <w:p>
      <w:r>
        <w:t>Ainsi, la chambre de céans, disposant d’un dossier contenant toutes les pièces utiles à la résolution du litige, ne donnera aucune suite favorable aux actes d’instruction sollicités par les recourants. 3)</w:t>
      </w:r>
    </w:p>
    <w:p>
      <w:r>
        <w:t>Le recours peut être formé pour violation du droit y compris l'excès et l'abus du pouvoir d'appréciation et pour constatation inexacte ou incomplète des faits pertinents (art. 61 al. 1 let. a et b LPA). Les juridictions administratives n'ont pas de compétence pour apprécier l'opportunité de la décision attaquée, sauf exception prévue par la loi (art. 61 al. 2 LPA). 4)</w:t>
      </w:r>
    </w:p>
    <w:p>
      <w:r>
        <w:t>Le litige porte sur le refus de l’autorité intimée de délivrer un « permis d’occuper ou d’utiliser » aux recourants suite aux travaux effectués dans leur hôtel. 5)</w:t>
      </w:r>
    </w:p>
    <w:p>
      <w:r>
        <w:t>Les recourants allèguent une violation du principe de la légalité. La LCI ne prévoirait pas de norme de « délégation » indiquant qu’une construction devait être conforme à une autorisation de construire pour que le permis d’occuper soit délivré. Dès lors, l’art. 38 RCI imposerait des conditions en violation du principe de la séparation des pouvoirs.</w:t>
      </w:r>
    </w:p>
    <w:p>
      <w:r>
        <w:t>a. L’art. 2 al. 2 de la Constitution de la République et canton de Genève du</w:t>
      </w:r>
    </w:p>
    <w:p>
      <w:r>
        <w:rPr>
          <w:b/>
        </w:rPr>
        <w:t>E. 14</w:t>
      </w:r>
    </w:p>
    <w:p>
      <w:r>
        <w:t>octobre 2004 consid. 2.2.1 in RDAF 2005 71 ; ATA/1299/2019 du 27 août</w:t>
      </w:r>
    </w:p>
    <w:p>
      <w:r>
        <w:t>- 20/22 - A/4119/2019 2019 consid. 3d ; Thierry TANQUEREL, Manuel de droit administratif, 2018, n. 569 s).</w:t>
      </w:r>
    </w:p>
    <w:p>
      <w:r>
        <w:t>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(ATA/321/2018 du 10 avril 2018 consid. 4 ; Ulrich HÄFELIN/Georg MÜLLER/Felix UHLMANN, Allgemeines Verwaltungsrecht, 2016, 7ème éd., p. 141 ss et p. 158 n. 69).</w:t>
      </w:r>
    </w:p>
    <w:p>
      <w:r>
        <w:t>c. En l'espèce, la chambre de céans doit au préalable examiner si le renseignement contenu dans la décision attaquée était erroné et pouvait donc le cas échéant contraindre l’autorité intimée à consentir aux recourants un avantage contraire à la réglementation en vigueur.</w:t>
      </w:r>
    </w:p>
    <w:p>
      <w:r>
        <w:t>Il ressort de la décision du 12 mars 2019 que « la production de documents supplémentaires permettait au département de statuer sur la délivrance du permis d’occuper ». À cet égard, le département n’a pas formellement promis aux recourants de leur délivrer un permis d’occuper, mais il leur a indiqué qu’après réception des documents, il se prononcerait sur la délivrance d’un tel permis. Par ailleurs, il appert qu’aucun renseignement erroné n’a été donné aux recourants, ce d’autant plus qu’après une analyse des pièces produites par les intéressés, le département est arrivé à la conclusion que leur hôtel n’était pas conforme eu égard notamment aux normes de sécurité incendie. Dès lors que l’autorité intimée n’a pas donné de renseignement erroné, les recourants ne peuvent se prévaloir d’une obligation de celle-ci à leur consentir un avantage contraire à la réglementation en vigueur.</w:t>
      </w:r>
    </w:p>
    <w:p>
      <w:r>
        <w:t>Au surplus, il apparaît que l’autorité intimée n’a pas excédé son pouvoir d’appréciation, dès lors que l’application stricte de la LCI se justifie par un intérêt digne de protection, soit l’intérêt public à ce que la sécurité soit garantie aux occupants de l’hôtel en cas d’incendie.</w:t>
      </w:r>
    </w:p>
    <w:p>
      <w:r>
        <w:t>Ce grief sera également écarté.</w:t>
      </w:r>
    </w:p>
    <w:p>
      <w:r>
        <w:t>Le recours, en tout point mal fondé, sera rejeté.</w:t>
      </w:r>
    </w:p>
    <w:p>
      <w:r>
        <w:t>- 21/22 - A/4119/2019 12) Vu l’issue du litige, un émolument de CHF 1’000.- sera mis à la charge des recourants, qui succombent (art. 87 al. 1 LPA), et il ne leur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