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ATA/205/2012 vom 10. April 2012</w:t>
      </w:r>
    </w:p>
    <w:p>
      <w:r>
        <w:t>GE Cour de justice, 2012-04-10, FR</w:t>
      </w:r>
    </w:p>
    <w:p>
      <w:r>
        <w:rPr>
          <w:b/>
        </w:rPr>
        <w:t xml:space="preserve">Quelle: </w:t>
      </w:r>
      <w:r>
        <w:t>https://mcp.opencaselaw.ch/entscheid/ge_gerichte_ATA_205_2012</w:t>
      </w:r>
    </w:p>
    <w:p>
      <w:r>
        <w:t>FR: GE_GERICHTE ATA/205/2012 du 10 avril 2012</w:t>
      </w:r>
    </w:p>
    <w:p>
      <w:r>
        <w:t>IT: GE_GERICHTE ATA/205/2012 del 10 aprile 2012</w:t>
      </w:r>
    </w:p>
    <w:p>
      <w:pPr>
        <w:pStyle w:val="Heading2"/>
      </w:pPr>
      <w:r>
        <w:t>Erwägungen</w:t>
      </w:r>
    </w:p>
    <w:p>
      <w:r>
        <w:rPr>
          <w:b/>
        </w:rPr>
        <w:t>E. 14</w:t>
      </w:r>
    </w:p>
    <w:p>
      <w:r>
        <w:t>mars 2012 par plis simple et recommandé, avec un ultime délai au 29 mars 2012, pour s'acquitter de l'avance de frais, l’informant qu'à défaut, le recours serait déclaré irrecevable ;</w:t>
      </w:r>
    </w:p>
    <w:p>
      <w:r>
        <w:t>que suivant l’avis des services financiers du Pouvoir judiciaire du 4 avril 2012, le paiement est intervenu le 2 avril 2012, soit après l’expiration du délai susmentionné ;</w:t>
      </w:r>
    </w:p>
    <w:p>
      <w:r>
        <w:t>que par conséquent le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1er février 2012 par Madame B______ contre la décision du 19 décembre 2011 prise par le service de la consommation et des affaires vétérinaires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B______ ainsi qu'au service de la consommation et des affaires vétérinaires.</w:t>
      </w:r>
    </w:p>
    <w:p>
      <w:r>
        <w:t>- 3/3 - A/342/2012 Au nom de la chambre administrative : la greffière :</w:t>
      </w:r>
    </w:p>
    <w:p>
      <w:r>
        <w:t>Véronique Serain</w:t>
      </w:r>
    </w:p>
    <w:p>
      <w:r>
        <w:t>le juge délégué :</w:t>
      </w:r>
    </w:p>
    <w:p>
      <w:r>
        <w:t>Eliane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