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ATA/204/2012 vom 10. April 2012</w:t>
      </w:r>
    </w:p>
    <w:p>
      <w:r>
        <w:t>GE Cour de justice, 2012-04-10, FR</w:t>
      </w:r>
    </w:p>
    <w:p>
      <w:r>
        <w:rPr>
          <w:b/>
        </w:rPr>
        <w:t xml:space="preserve">Quelle: </w:t>
      </w:r>
      <w:r>
        <w:t>https://mcp.opencaselaw.ch/entscheid/ge_gerichte_ATA_204_2012</w:t>
      </w:r>
    </w:p>
    <w:p>
      <w:r>
        <w:t>FR: GE_GERICHTE ATA/204/2012 du 10 avril 2012</w:t>
      </w:r>
    </w:p>
    <w:p>
      <w:r>
        <w:t>IT: GE_GERICHTE ATA/204/2012 del 10 aprile 2012</w:t>
      </w:r>
    </w:p>
    <w:p>
      <w:pPr>
        <w:pStyle w:val="Heading2"/>
      </w:pPr>
      <w:r>
        <w:t>Erwägungen</w:t>
      </w:r>
    </w:p>
    <w:p>
      <w:r>
        <w:rPr>
          <w:b/>
        </w:rPr>
        <w:t>E. 11</w:t>
      </w:r>
    </w:p>
    <w:p>
      <w:r>
        <w:t>du dossier d’appel d’offres (désignation des travaux et du projet, nom du maître d’ouvrage, lieu, montant des travaux, date de début et de fin des travaux) ne sont pas précisées, empêchant la vérification de ces références par l’adjudicataire ;</w:t>
      </w:r>
    </w:p>
    <w:p>
      <w:r>
        <w:t>que l’offre ne comporte pas un organigramme de l’entreprise, mais uniquement une liste des corps de métiers y travaillant, précisant le nombre d’employés dans chacune des fonctions ;</w:t>
      </w:r>
    </w:p>
    <w:p>
      <w:r>
        <w:t>qu’au surplus, des documents concernant la sécurité ne figurent pas dans l’offre d’Aerotechnologies S.A. et que ceux annexés au recours n’ont pas été complétés ;</w:t>
      </w:r>
    </w:p>
    <w:p>
      <w:r>
        <w:t>que, dans ces circonstances, les chances de succès du recours apparaissent faibles à première vue, alors qu’il y a un fort intérêt public à ce que la rénovation de l’immeuble des « Libellules » puisse rapidement être réalisée ;</w:t>
      </w:r>
    </w:p>
    <w:p>
      <w:r>
        <w:t>que l’intérêt privé de la recourante, qui n’est pas détaillé dans le recours, ne peut qu’être économique ;</w:t>
      </w:r>
    </w:p>
    <w:p>
      <w:r>
        <w:t>qu’en dernier lieu, la motivation de la décision litigieuse apparaît conforme aux exigences de la jurisprudence (ATA/95/2008 du 4 mars 2008) dès lors que le tableau d’évaluation est annexé et que les notes accordées pour les 2ème et 3ème critères sont sommairement justifiées ;</w:t>
      </w:r>
    </w:p>
    <w:p>
      <w:r>
        <w:t>- 4/4 - A/920/2012</w:t>
      </w:r>
    </w:p>
    <w:p>
      <w:r>
        <w:t>qu’au vu de ce qui précède, la restitution de l’effet suspensif sera refusée ;</w:t>
      </w:r>
    </w:p>
    <w:p>
      <w:r>
        <w:t>que cette solution s’impose au vu du caractère restrictif que doit avoir cette restitution dans le domaine des marchés publics ;</w:t>
      </w:r>
    </w:p>
    <w:p>
      <w:r>
        <w:t>que le sort des frais de la procédure sera réservé jusqu’à droit jugé au fond ;</w:t>
      </w:r>
    </w:p>
    <w:p>
      <w:r>
        <w:t>vu l’art. 66 al. 2 de la loi sur la procédure administrative du 12 septembre 1985 (LPA - E 5 10) ;</w:t>
      </w:r>
    </w:p>
    <w:p>
      <w:r>
        <w:t>vu l’art. 7 al. 1 du règlement interne de la chambre administrative du 21 décembre 2010 ; LA CHAMBRE ADMINISTRATIVE rejette la demande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Golovtchiner, avocat de la recourante, ainsi qu'à Me Romain Jordan, avocat de la Fondation HBM Emile Dupont.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