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ATA/204/2011 vom 29. März 2011</w:t>
      </w:r>
    </w:p>
    <w:p>
      <w:r>
        <w:t>GE Cour de justice, 2011-03-29, FR</w:t>
      </w:r>
    </w:p>
    <w:p>
      <w:r>
        <w:rPr>
          <w:b/>
        </w:rPr>
        <w:t xml:space="preserve">Quelle: </w:t>
      </w:r>
      <w:r>
        <w:t>https://mcp.opencaselaw.ch/entscheid/ge_gerichte_ATA_204_2011</w:t>
      </w:r>
    </w:p>
    <w:p>
      <w:r>
        <w:t>FR: GE_GERICHTE ATA/204/2011 du 29 mars 2011</w:t>
      </w:r>
    </w:p>
    <w:p>
      <w:r>
        <w:t>IT: GE_GERICHTE ATA/204/2011 del 29 marzo 2011</w:t>
      </w:r>
    </w:p>
    <w:p>
      <w:pPr>
        <w:pStyle w:val="Heading2"/>
      </w:pPr>
      <w:r>
        <w:t>Erwägungen</w:t>
      </w:r>
    </w:p>
    <w:p>
      <w:r>
        <w:rPr>
          <w:b/>
        </w:rPr>
        <w:t>E. 1</w:t>
      </w:r>
    </w:p>
    <w:p>
      <w:r>
        <w:t>Interjeté le 18 mars 2011 contre le jugement du TAPI, prononcé et notifié le 10 mars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21 mars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- 5/7 - A/705/2011</w:t>
      </w:r>
    </w:p>
    <w:p>
      <w:r>
        <w:rPr>
          <w:b/>
        </w:rPr>
        <w:t>E. 5</w:t>
      </w:r>
    </w:p>
    <w:p>
      <w:r>
        <w:t>En l’espèce, le recourant fait l’objet d’une décision de renvoi exécutoire depuis le 19 mai 2000. Il n’a depuis lors entrepris aucune démarche en vue de quitter la Suisse et a déclaré à réitérées reprises ne pas vouloir le faire car il ne voulait pas retourner dans son pays. Il n’était pas à son domicile lorsque la police est venue le chercher pour l’accompagner sur le premier vol réservé le 3 mars 2011. Il a refusé d’embarquer sur un second vol de retour réservé pour le 12 mars 2011. Il ne se conforme pas à l’injonction qui lui est faite par l’autorité en quittant volontairement la Suisse. Dans ces circonstances, les conditions d’application des art. 76 al. 1 let. b ch. 3 et 4 LEtr sont réalisées, qui fondent son maintien en détention.</w:t>
      </w:r>
    </w:p>
    <w:p>
      <w:r>
        <w:rPr>
          <w:b/>
        </w:rPr>
        <w:t>E. 6</w:t>
      </w:r>
    </w:p>
    <w:p>
      <w:r>
        <w:t>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w:t>
      </w:r>
    </w:p>
    <w:p>
      <w:r>
        <w:t>En l’espèce, le recourant allègue que sa vie serait en danger dans son pays, sans toutefois en apporter de démonstration. Il prétend par ailleurs vouloir déposer une demande de reconsidération concernant le courrier de l’OCP du 3 février 2011. Cela n’est toutefois pas de nature à empêcher l’exécution de son renvoi. En effet, le courrier en question a trait à l’octroi d’une autorisation de séjour, procédure qui ne nécessite pas la présence en Suisse du recourant, qui est de surcroît assisté d’un conseil. Aucun élément ne permet donc de considérer que le renvoi ne peut être exécuté.</w:t>
      </w:r>
    </w:p>
    <w:p>
      <w:r>
        <w:rPr>
          <w:b/>
        </w:rPr>
        <w:t>E. 7</w:t>
      </w:r>
    </w:p>
    <w:p>
      <w:r>
        <w:t>Aux termes de l’art. 76 al. 4 LEtr, les démarches nécessaires à l’exécution du renvoi ou l’expulsion doivent être entreprises sans tarder. En outre, la durée de la détention administrative doit respecter le principe de la proportionnalité, garanti par l’art. 36 de la Constitution fédérale de la Confédération suisse du 18 avril 1999 (Cst. - RS 101). En l’espèce, ces règles ont été respectées.</w:t>
      </w:r>
    </w:p>
    <w:p>
      <w:r>
        <w:t>Les démarches permettant l’exécution du renvoi sont en cours. De même, une mise en détention pour une durée d’un mois n’est pas exagérée pour que le retour du recourant en RDC soit effectif, surtout s’il faut désormais organiser un vol spécial, vu son refus de monter dans le vol qui devait le ramener dans son pays. Il est, à cet égard, responsable de la durée de sa détention.</w:t>
      </w:r>
    </w:p>
    <w:p>
      <w:r>
        <w:rPr>
          <w:b/>
        </w:rPr>
        <w:t>E. 8</w:t>
      </w:r>
    </w:p>
    <w:p>
      <w:r>
        <w:t>Au vu de ce qui précède, le recours sera rejeté.</w:t>
      </w:r>
    </w:p>
    <w:p>
      <w:r>
        <w:t>La chambre de céans statuant au fond, la demande d’effet suspensif n’a plus d’objet.</w:t>
      </w:r>
    </w:p>
    <w:p>
      <w:r>
        <w:t>Vu la nature du litige, aucun émolument ne sera perçu (art. 12 du règlement sur les frais, émoluments et indemnités en procédure administrative du 30 juillet</w:t>
      </w:r>
    </w:p>
    <w:p>
      <w:r>
        <w:t>- 6/7 - A/705/2011 1986 - RFPA - E 5 10.03). De même,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