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ATA/203/2014 vom 1. April 2014</w:t>
      </w:r>
    </w:p>
    <w:p>
      <w:r>
        <w:t>GE Cour de justice, 2014-04-01, FR</w:t>
      </w:r>
    </w:p>
    <w:p>
      <w:r>
        <w:rPr>
          <w:b/>
        </w:rPr>
        <w:t xml:space="preserve">Quelle: </w:t>
      </w:r>
      <w:r>
        <w:t>https://mcp.opencaselaw.ch/entscheid/ge_gerichte_ATA_203_2014</w:t>
      </w:r>
    </w:p>
    <w:p>
      <w:r>
        <w:t>FR: GE_GERICHTE ATA/203/2014 du 1 avril 2014</w:t>
      </w:r>
    </w:p>
    <w:p>
      <w:r>
        <w:t>IT: GE_GERICHTE ATA/203/2014 del 1 aprile 2014</w:t>
      </w:r>
    </w:p>
    <w:p>
      <w:pPr>
        <w:pStyle w:val="Heading2"/>
      </w:pPr>
      <w:r>
        <w:t>Regeste</w:t>
      </w:r>
    </w:p>
    <w:p>
      <w:r>
        <w:t>Résumé: Amendes fiscales confirmées. Les trois conditions cumulatives de la soustraction fiscale sont remplies. Au vu des circonstances extérieures, la conscience des organes de la société quant au risque de voir une partie des revenus de celle-ci soustrait au fisc est démontrée. La faute des organes, imputable à la société, est intentionnelle. Quotité des amendes confirmée. Pas de violation du principe ne bis in idem car le prélèvement de l'impôt anticipé et le prononcé des amendes fiscales relatives à l'impôt fédéral et aux impôts cantonaux et communaux sur le revenu ne visent ni la même personne, ni ne portent sur le même objet.</w:t>
      </w:r>
    </w:p>
    <w:p>
      <w:pPr>
        <w:pStyle w:val="Heading2"/>
      </w:pPr>
      <w:r>
        <w:t>Erwägungen</w:t>
      </w:r>
    </w:p>
    <w:p>
      <w:r>
        <w:rPr>
          <w:b/>
        </w:rPr>
        <w:t>E. 12</w:t>
      </w:r>
    </w:p>
    <w:p>
      <w:r>
        <w:t>septembre 1985 - LPA - E 5 10). 2)</w:t>
      </w:r>
    </w:p>
    <w:p>
      <w:r>
        <w:t>Le présent litige porte sur le bien-fondé des amendes IFD et ICC prononcées par l’AFC-GE au motif que A______ n’a pas perçu de rémunération, pendant les années 2006 à 2008, de la part de J______ et I______, sociétés sœurs appartenant au même groupe qu’elle, pour les services qu’elle leur avait rendus.</w:t>
      </w:r>
    </w:p>
    <w:p>
      <w:r>
        <w:t>L’absence de rémunération pour lesdits services a été chiffrée par l’AFC-CH, lors d’un contrôle lié à l’impôt anticipé, et acceptée par A______. L’AFC-GE a repris ces mêmes montants dans les taxations IFD et ICC de A______ relatives aux périodes fiscales 2006 à 2009, l’année 2009 étant concernée en raison d’une perte reportée de l’année 2008. A______ ne conteste, dans le cadre de la présente procédure, ni ces montants, ni les rappels d’impôt IFD et ICC relatifs à ces années. Les arguments liés à l’existence d’une prestation appréciable en argent sont donc irrecevables. 3)</w:t>
      </w:r>
    </w:p>
    <w:p>
      <w:r>
        <w:t>La recourante remet en cause le principe des amendes IFD et ICC sur trois points. D’abord, elle conteste avoir commis une soustraction d’impôt, dans la mesure où elle n’a pas eu l’intention de se soustraire à son obligation de payer des impôts. L’absence litigieuse de rémunération des services rendus à ses deux sociétés sœurs résultait d’une erreur d’appréciation quant à leur étendue, et non d’une volonté de ne pas les rémunérer. Elle estime ensuite ne pas avoir violé l’obligation de déclarer les éléments imposables, faute d’avoir eu connaissance desdites rémunérations au moment de remplir ses déclarations fiscales. Enfin, en ce qui concerne la faute, elle conteste avoir agi de manière intentionnelle. Elle reproche au TAPI de ne pas avoir correctement apprécié les faits tendant à démontrer l’absence d’intention. 4)</w:t>
      </w:r>
    </w:p>
    <w:p>
      <w:r>
        <w:t>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 Lorsque des obligations de procédure ont été violées ou qu'une soustraction ou une tentative de soustraction d'impôt a été commise au profit d'une personne morale, celle-ci est punie d'une amende (art. 181 al. 1 LIFD, 57 al. 1 phr. 1 LHID et 74 al. 1 LPFisc). Malgré le texte de l’art. 181 al. 1 LIFD, dont le contenu est similaire aux</w:t>
      </w:r>
    </w:p>
    <w:p>
      <w:r>
        <w:t>- 10/19 - A/1634/2012 art. 57 al. 1 phr. 1 LHID et 74 al. 1 LPFisc, la jurisprudence considère que la responsabilité pénale de la personne morale dépend d’une faute de ses organes, imputable à la personne morale (ATF 135 II 86 consid. 4 ; Arrêt du Tribunal fédéral 2C_907/2012 du 22 mai 2013 consid. 5.4).</w:t>
      </w:r>
    </w:p>
    <w:p>
      <w:r>
        <w:t>Pour qu'une soustraction fiscale soit réalisée, trois éléments doivent dès lors être réunis: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(Pietro SANSONETTI, in Danielle YERSIN / Yves NOËL (éd.), Impôt fédéral direct, Commentaire de la loi sur l’impôt fédéral direct, 2008, ad art. 175 n. 7 ss ; Xavier OBERSON, Droit fiscal suisse, 4ème éd., 2012, p. 586 ss n. 15 ss). 5)</w:t>
      </w:r>
    </w:p>
    <w:p>
      <w:r>
        <w:t>Tout d’abord, il convient d’examiner si la condition de la soustraction d’un montant d’impôt est réalisée.</w:t>
      </w:r>
    </w:p>
    <w:p>
      <w:r>
        <w:t>Le bien juridiquement protégé par l’art. 175 LIFD est le patrimoine de la collectivité publique, qui est lésé dès lors que les ressources financières n’augmentent pas conformément à ce que prévoit la loi fiscale. L’art. 175 LIFD protège la créance fiscale en tant que fortune de la collectivité publique (Arrêt du Tribunal fédéral 2C_907/2012 précité consid. 5.3).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 (Pietro SANSONETTI, op. cit., ad art. 175 n. 12). Dans ce contexte, le principe de périodicité prend une importance déterminante en raison du besoin de l’Etat d’assurer une source régulière de rentrées fiscales afin de financer les tâches qui lui sont dévolues (Arrêt du Tribunal fédéral 2C_907/2012 précité consid. 5.3.1).</w:t>
      </w:r>
    </w:p>
    <w:p>
      <w:r>
        <w:t>En l’espèce, la différence entre le montant d’impôt des taxations définitives et celui qui aurait dû l’être a fait l’objet de rappels d’impôt qui n’ont pas été contestés par la recourante. Celle-ci admet ainsi avoir causé un dommage financier au détriment de la collectivité publique. La condition de la soustraction d’un montant d’impôt est dès lors remplie, l’appréciation subjective de la situation à l’époque par l’intéressée n’étant pas pertinente pour l’examen objectif de cette première exigence. 6)</w:t>
      </w:r>
    </w:p>
    <w:p>
      <w:r>
        <w:t>Il s’agit ensuite d’examiner si la recourante a violé une obligation légale lui incombant.</w:t>
      </w:r>
    </w:p>
    <w:p>
      <w:r>
        <w:t>- 11/19 - A/1634/2012</w:t>
      </w:r>
    </w:p>
    <w:p>
      <w:r>
        <w:t>a. Le contribuable doit faire tout ce qui est nécessaire pour assurer une taxation complète et exacte (art. 126 al. 1 LIFD, 42 al. 1 LHID et 31 al. 1 LPFisc). En particulier, le contribuable doit remplir la formule de déclaration d'impôt de manière conforme à la vérité et complète ; il doit la signer personnellement et la remettre à l'autorité compétente avec les annexes prescrites dans le délai qui lui est imparti (art. 124 al. 2 LIFD et 26 al. 2 LPFisc). La déclaration d’impôt doit refléter la situation des revenus et charges du contribuable de manière aussi exacte que possible. Le comportement fautif du contribuable peut consister en une omission, par exemple d’annoncer à l’autorité certains éléments de revenu dont il a connaissance, et l’intention de soustraire l’impôt est réputée donnée lorsque le contribuable pouvait se rendre compte immédiatement, ou avec l’attention commandée par les circonstances, de l’insuffisance des indications qu’il a données (Isabelle ALTHAUS-HOURIET, in Danielle YERSIN / Yves NOËL (éd.), Impôt fédéral direct, Commentaire de la loi sur l’impôt fédéral direct, 2008, ad art. 124 n. 4).</w:t>
      </w:r>
    </w:p>
    <w:p>
      <w:r>
        <w:t>S’agissant des éléments à déclarer, l’impôt sur le bénéfice a pour objet le bénéfice net (art. 57 LIFD et 24 al. 1 LHID ; art. 11 de la loi sur l’imposition des personnes morales du 23 septembre 1994 - LIPM - D 3 15). Le bénéfice net imposable comprend le solde du compte de résultats, compte tenu du solde reporté de l’exercice précédent (art. 58 al. 1 let. a LIFD et 12 let. a LIPM). Il comprend aussi les distributions ouvertes ou dissimulées de bénéfice et les avantages procurés à des tiers qui ne sont pas justifiés par l’usage commercial (art. 58 al. 1 let. b 5ème tiret LIFD). Au niveau genevois, sont notamment considérés comme bénéfice net imposable (art. 12 LIPM) les allocations volontaires à des tiers et les prestations de toute nature fournies gratuitement à des tiers ou à des actionnaires de la société (let. h) ainsi que les produits qui n’ont pas été comptabilisés dans le compte de résultat (let. j).</w:t>
      </w:r>
    </w:p>
    <w:p>
      <w:r>
        <w:t>b. 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(Jean-Frédéric MARAIA, Prix de transfert des biens incorporels, thèse, 2008, n. 46 ss). La particularité de ce domaine porte sur la détermination des prix de transfert. En effet, lorsque des entreprises associées entre elles exercent des activités dans différents Etats et dépendent d’une direction centrale unique, elles peuvent adopter, pour les transactions effectuées à l’intérieur du groupe, des prix de transfert qui s’écartent des prix du marché, dans le but de réduire leur charge fiscale (Xavier OBERSON, Précis de droit fiscal international, 3ème éd., 2009, n. 748 ; Charles CONSTANTIN, Prix de transfert. L’OCDE remet ça…, in RDAF 1996 p. 1 ss). Ce risque est pallié par l’application du principe de pleine concurrence, également dénommé arm’s length principle et Drittvergleich. Ce principe trouve, au niveau international, son fondement</w:t>
      </w:r>
    </w:p>
    <w:p>
      <w:r>
        <w:t>- 12/19 - A/1634/2012 juridique à l’art. 9 du Modèle de Convention de double imposition de l’OCDE (Xavier OBERSON, 2009, op. cit., n. 749 ss ; Jean-Frédéric MARAIA, op. cit., n. 62 ; Charles CONSTANTIN, op. cit., n. 2.1).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(Arrêts du Tribunal fédéral 2C_291/2013 du 26 novembre 2013, destiné à la publication, consid. 4 et 5 ; 2C_724/2010 du 27 juillet 2011 consid. 7.1 ; 2C_788/2010 du 18 mai 2011 consid. 4.1 ; Xavier OBERSON, 2009, op. cit., n. 748 s. et n. 755 ss ; Jean-Frédéric MARAIA, op. cit., n. 64 ; Robert DANON in Danielle YERSIN / Yves NOËL (éd.), Impôt fédéral direct, Commentaire de la loi sur l’impôt fédéral direct, 2008, ad art. 57-58 n. 107).</w:t>
      </w:r>
    </w:p>
    <w:p>
      <w:r>
        <w:t>c. En l’espèce, il ressort du courrier de l’AFC-CH du 11 janvier 2010 deux éléments. D’une part, A______ reconnaissait ne pas avoir facturé un certain nombre de services rendus à ses deux sociétés sœurs, J______ et I______, entre 2006 et 2008. D’autre part, elle acceptait les montants des rémunérations fixés par l’AFC-CH pour ces services. L’absence de ces rémunérations a donné lieu aux rappels d’impôt pour l’IFD et l’ICC 2006, 2007 et 2009, avec la précision mentionnée dans le courrier du 8 avril 2011 de l’AFC-GE concernant le report de la perte de 2008, revue à la baisse, sur le bénéfice imposable de 2009 et justifiant le bordereau rectificatif de 2009. Ces rappels d’impôt n’ont pas été remis en cause par la recourante.</w:t>
      </w:r>
    </w:p>
    <w:p>
      <w:r>
        <w:t>En ne les contestant pas, celle-ci admet que les montants de ces rémunérations n’ont pas été communiqués à l’AFC-GE à l’époque de la remise des déclarations fiscales. Elle reconnaît également que ces montants correspondent à la valeur des services rendus à ses deux sociétés sœurs. En n’annonçant pas ces rémunérations, alors qu’elle avait fourni les contre- prestations correspondantes, A______ a violé son obligation de déclarer tous les éléments du bénéfice imposable.</w:t>
      </w:r>
    </w:p>
    <w:p>
      <w:r>
        <w:t>L’argument selon lequel elle n’avait pas conscience, au moment de remplir les déclarations fiscales, de l’étendue des services qu’elle rendait à J______ et à I______, en raison de leur multitude et de l’importance des rémunérations qu’elle percevait pour d’autres services, ne change rien à l’existence objective de ces manquements. La conformité du comportement de la recourante à ses obligations légales s’examine de manière objective, et non suivant la représentation subjective que la recourante avait des événements à l’époque. Par conséquent, la recourante a violé l’obligation de remplir ses déclarations fiscales de manière complète et</w:t>
      </w:r>
    </w:p>
    <w:p>
      <w:r>
        <w:t>- 13/19 - A/1634/2012 conforme à la vérité entre 2006 et 2008. La seconde condition de la soustraction fiscale est donc réalisée. 7)</w:t>
      </w:r>
    </w:p>
    <w:p>
      <w:r>
        <w:t>Il y a lieu, à présent, d’examiner si la condition de la faute est réalisée.</w:t>
      </w:r>
    </w:p>
    <w:p>
      <w:r>
        <w:t>a. Selon la jurisprudence, en cas d'infraction commise par une personne morale,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 Arrêt du Tribunal fédéral 2C_724/2010 du 27 juillet 2011 consid. 9.3).</w:t>
      </w:r>
    </w:p>
    <w:p>
      <w:r>
        <w:t>b. La soustraction est punissable aussi bien lorsqu'elle est commise intentionnellement que lorsqu'elle l'est par négligence. Le contribuable agit intentionnellement lorsqu’il agit avec conscience et volonté (cf. art. 12 al. 2 du Code pénal suisse du 21 décembre 1937 - CP - RS 311.0), applicable par renvoi combiné des art. 333 al. 1 et 104 CP). L'auteur agit déjà intentionnellement lorsqu'il tient pour possible la réalisation de l'infraction et l'accepte au cas où celle-ci se produirait (art. 12 al. 2 phr. 2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2C_907/2012 précité consid. 5.4.1 ; Arrêt du Tribunal fédéral 2C_908/2011 du 23 avril 2012 consid. 3.4). Le dol éventuel suffit ; il suppose que l'auteur envisage le résultat dommageable, mais agit néanmoins, parce qu'il s'en accommode au cas où il se produirait (ATF 130 IV 58 consid. 8.2). La présomption susmentionnée ne se laisse pas facilement renverser, car l'on a peine à imaginer quel autre motif pourrait conduire un contribuable à fournir à l'autorité fiscale des informations qu'il sait incorrectes ou incomplètes (Arrêt du Tribunal fédéral 2A.351/2002 du 5 novembre 2002 ; ATA/565/2010 du 31 août 2010 ; ATA/693/2009 du 22 décembre 2009 et les références citées).</w:t>
      </w:r>
    </w:p>
    <w:p>
      <w:r>
        <w:t>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 / 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w:t>
      </w:r>
    </w:p>
    <w:p>
      <w:r>
        <w:t>- 14/19 - A/1634/2012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(Bernard CORBOZ, op. cit., ad art. 12 n. 85).</w:t>
      </w:r>
    </w:p>
    <w:p>
      <w:r>
        <w:t>c. La notion de négligence de l'art. 175 LIFD est identique à celle de l'art. 12 CP (dans sa version applicable depuis le 1er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précité ; Pietro SANSONETTI, op. cit., ad art. 175 n. 41 et ss).</w:t>
      </w:r>
    </w:p>
    <w:p>
      <w:r>
        <w:t>d. En l’espèce, la recourante prétend ne pas avoir eu conscience de l’existence de services rendus, à ses deux sociétés sœurs, sans rémunération correspondante en échange. Elle se fonde sur la multitude des services rendus à celles-ci et sur l’importance des revenus perçus de celles-ci pour démontrer son impossibilité matérielle à identifier l’existence desdits services. De plus, elle invoque, pour démontrer son absence d’intention, la complexité du domaine des prix de transfert, en particulier en matière de services intra-groupe, le manque de connaissances des personnes responsables des questions comptables et fiscales au sein du groupe ainsi que le retard pris dans la mise en place d’outils de contrôle interne en raison de la forte croissance du groupe.</w:t>
      </w:r>
    </w:p>
    <w:p>
      <w:r>
        <w:t>Cette lecture des faits ne saurait en l’espèce être suivie. Les arguments invoqués par la recourante mettent au contraire en lumière la conscience des organes dirigeants de cette dernière du risque encouru sur le plan fiscal. En effet, la complexité du domaine des prix de transfert, les lacunes des personnes</w:t>
      </w:r>
    </w:p>
    <w:p>
      <w:r>
        <w:t>- 15/19 - A/1634/2012 responsables au sein du groupe et le retard dans la mise en place des outils de contrôle interne sont des éléments factuels extérieurs. Ils tendent davantage à expliquer la gestion inadéquate de la recourante qu’à étayer l’absence de conscience des organes dirigeants de celle-ci quant au risque de voir une partie de ses revenus soustraite au fisc.</w:t>
      </w:r>
    </w:p>
    <w:p>
      <w:r>
        <w:t>La justification que tente d’apporter la recourante ne peut, suivant l’expérience de la vie, se fonder que sur une conscience préalable, par ses organes dirigeants, du risque, envisagé et accepté, qu’une partie des revenus ne soit pas annoncée au fisc. Ce risque est d’autant plus important que la direction de l’entreprise connaît, ou du moins ne peut ignorer, l’inexistence, voire la défaillance, des procédures de contrôle interne. Cette conscience préalable dudit risque par les organes dirigeants de la recourante se trouve par ailleurs confirmée par d’autres circonstances extérieures objectives, à savoir la taille et la complexité du groupe B______, la diversité des lieux des sièges des sociétés du groupe ainsi que le choix desdits lieux sur des territoires connus pour leurs avantages fiscaux. Par conséquent, les organes dirigeants de la recourante ne pouvaient, au moment des faits reprochés entre 2006 et 2008, ignorer le risque que des prestations soient fournies par la recourante aux sociétés sœurs sans rémunération correspondante conforme au prix du marché, ni celui qu’elles ne soient pas déclarées dans leur intégralité et à leur juste valeur aux autorités fiscales compétentes. Par ailleurs, dans le cas présent, M. S______ se trouvait, au moment des faits litigieux, dans une situation hiérarchique et concrète lui permettant d’identifier et d’apprécier en toute connaissance de cause ledit risque. D’une part, il occupait des fonctions dirigeantes entre 2006 et 2009 tant au sein de la recourante que de la société-mère. D’autre part, il a signé les déclarations fiscales 2006 à 2009 de la recourante.</w:t>
      </w:r>
    </w:p>
    <w:p>
      <w:r>
        <w:t>Quant aux arguments avancés par l’intéressée concernant la multitude des services qu’elle avait rendus à J______ et aux entités qui lui étaient liées, ainsi que l’importance des revenus perçus de ces dernières, ils ne changent rien à l’analyse des circonstances extérieures susmentionnées et ne permettent pas de démontrer l’absence de conscience de ses organes dirigeants. En effet, ces données sont des conséquences induites par ce type de structure et de cas de figure, en particulier lors d’une gestion déficiente de l’entreprise.</w:t>
      </w:r>
    </w:p>
    <w:p>
      <w:r>
        <w:t>L’ensemble de ces éléments permet donc d’établir avec une sécurité suffisante la conscience des organes dirigeants de la recourante, et en particulier de M. S______, quant au risque, envisagé et accepté, qu’une soustraction fiscale se réalise, notamment en raison de l’absence de mesures appropriées pour s’assurer que toutes les prestations de la société soient rémunérées, respectivement rémunérées au prix du marché, et que les déclarations fiscales soient complètes et conformes à la vérité. Cette conscience étant établie, la volonté de la recourante de chercher à induire les autorités en erreur afin d’obtenir une taxation moins élevée</w:t>
      </w:r>
    </w:p>
    <w:p>
      <w:r>
        <w:t>- 16/19 - A/1634/2012 doit être admise conformément à la jurisprudence, à tout le moins par dol éventuel.</w:t>
      </w:r>
    </w:p>
    <w:p>
      <w:r>
        <w:t>Par conséquent, la soustraction fiscale reprochée à la recourante a été commise de manière intentionnelle. Le grief de la recourante doit donc être écarté et les amendes ICC et IFD litigieuses ainsi que le jugement du TAPI confirmés sur le principe des amendes. 8)</w:t>
      </w:r>
    </w:p>
    <w:p>
      <w:r>
        <w:t>En ce qui concerne la quotité des amendes, elle n’est pas remise en cause par la recourante, celle-ci se limitant à contester l’existence de circonstances aggravantes telles que retenues par la juridiction inférieure.</w:t>
      </w:r>
    </w:p>
    <w:p>
      <w:r>
        <w:t>a. En règle générale, l'amende est fixée au montant de l'impôt soustrait. Si la faute est légère, l'amende peut être réduite jusqu'au tiers de ce montant ; si la faute est grave, elle peut au plus être triplée (art. 175 al. 2 LIFD, 56 al. 2 LHID et 69 al. 2 LPFisc).</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w:t>
      </w:r>
    </w:p>
    <w:p>
      <w:r>
        <w:rPr>
          <w:b/>
        </w:rPr>
        <w:t>E. 16</w:t>
      </w:r>
    </w:p>
    <w:p>
      <w:r>
        <w:t>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w:t>
      </w:r>
    </w:p>
    <w:p>
      <w:r>
        <w:t>En l’espèce, au vu des circonstances et du pouvoir d’appréciation dont dispose l’autorité fiscale en la matière, la quotité de 0,75 fois le montant des impôts soustraits est appropriée. En effet, d’une part, elle prend en compte la collaboration de la recourante dans le cadre des procédures de rappel d’impôt, tant au niveau fédéral que cantonal, et l’adoption d’un arrangement fiscal tendant à clarifier sa politique des prix de transfert entre les différentes entreprises du groupe. D’autre part, elle tient compte de la faute intentionnelle commise par les organes de la recourante, qui lui est imputable. Par conséquent, les amendes sont confirmées sous l’angle de la quotité. 9)</w:t>
      </w:r>
    </w:p>
    <w:p>
      <w:r>
        <w:t>La recourante conteste enfin le principe des amendes IFD et ICC au motif qu’elles violeraient le principe ne bis in idem. Le prélèvement de l’impôt anticipé d’un montant de CHF 2'383'882.- constituerait déjà une sanction de nature pénale</w:t>
      </w:r>
    </w:p>
    <w:p>
      <w:r>
        <w:t>- 17/19 - A/1634/2012 en relation avec les prestations octroyées à J______ et à I______. Bien que cet impôt ait été mis à la charge de J______ et de I______, il avait appauvri le groupe auquel elle appartenait.</w:t>
      </w:r>
    </w:p>
    <w:p>
      <w:r>
        <w:t>Le principe ne bis in idem appartient, selon la jurisprudence constante, au droit pénal fédéral. Il découle implicitement de la Constitution fédérale (art. 8 al. 1 Cst. ; Gérard PIQUEREZ / Alain MACALUSO, Procédure pénale suisse, 3ème éd., 2011, n. 581 ss ; Michel HOTTELIER, in André KUHN / Yvan JEANNERET (éd.), Code de procédure pénale suisse, 2011, ad art. 11 n. 1). Il est ancré à l'art. 4 al. 1 du Protocole n° 7 à la Convention de sauvegarde des droits de l'homme et des libertés fondamentales (RS 0.101.07) et à l'art. 14 al. 7 du Pacte international du 16 décembre 1966 relatif aux droits civils et politiques (RS 0.103.2). Il figure également, depuis le 1er janvier 2011, à l'art. 11 al. 1 du Code de procédure pénale suisse du 5 octobre 2007 (CPP - RS 312.0).</w:t>
      </w:r>
    </w:p>
    <w:p>
      <w:r>
        <w:t>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 14939/03, § 79 ss). Outre l'identité des faits, l'autorité de chose jugée et le principe ne bis in idem supposent également qu'il y ait identité de l'objet de la procédure et de la personne visée (ATF 137 I 363 consid. 2.1 et les références citées ; ATF 119 Ib 311 consid. 3c ; Arrêt du Tribunal fédéral 6B_1029/2010 du 18 avril 2011 consid. 1.1 et les références citées ; Gérard PIQUEREZ / Alain MACALUSO, op. cit., n. 585 ss). Plus particulièrement, le Tribunal fédéral a jugé que le principe ne bis in idem ne s’opposait pas à une punition pour soustraction de l’IFD, bien que le contribuable ait déjà été puni pour soustraction des impôts cantonaux. En effet, il s’agissait de deux impôts distincts, prélevés par deux collectivités publiques différentes – soit la Confédération et le canton –, relevant de deux souverainetés fiscales différentes et protégeant des biens juridiques différents (ATF 119 Ib 311 consid. 3d, traduit in RDAF 1995 p. 118).</w:t>
      </w:r>
    </w:p>
    <w:p>
      <w:r>
        <w:t>En l’espèce, la recourante considère que la coexistence de la perception de l’impôt anticipé par l’AFC-CH, d’une part, et du prononcé des amendes ICC et IFD infligées par l’AFC-GE, d’autre part, conduit à une double peine pénale et viole ainsi le principe ne bis in idem. La question de la nature pénale du prélèvement de l’impôt anticipé peut en l’espèce rester ouverte pour les motifs suivants. Le principe ne bis in idem suppose la réalisation de trois conditions cumulatives, à savoir l’identité de la personne visée, de l’objet de la procédure et des faits matériels. La deuxième condition susmentionnée n’est pas remplie, dans la mesure où la procédure conduisant à la perception de l’impôt anticipé, fondée</w:t>
      </w:r>
    </w:p>
    <w:p>
      <w:r>
        <w:t>- 18/19 - A/1634/2012 sur la loi fédérale sur l’impôt anticipé du 13 octobre 1965 (LIA – RS 642.21) et relevant de la compétence de l’AFC-CH, n’a pas le même objet que la procédure ayant abouti au prononcé des amendes ICC et IFD par l’AFC-GE. Non seulement ces deux procédures portent sur des impôts différents, mais l’une vise le prélèvement d’un impôt et l’autre la sanction d’un comportement illicite. Par conséquent, l’AFC-GE n’a pas violé le principe ne bis in idem en prononçant les amendes ICC et IFD litigieuses, en sus du prélèvement de l’impôt anticipé réclamé par l’AFC-CH. Le grief de la recourante doit donc être écarté. 10) Au vu de ce qui précède, le recours sera rejeté. Le jugement du TAPI ainsi que les amendes litigieuses seront confirmés.</w:t>
      </w:r>
    </w:p>
    <w:p>
      <w:r>
        <w:t>Un émolument de CHF 2'000.-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