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ATA/201/2021 vom 23. Februar 2021</w:t>
      </w:r>
    </w:p>
    <w:p>
      <w:r>
        <w:t>GE Cour de justice, 2021-02-23, FR</w:t>
      </w:r>
    </w:p>
    <w:p>
      <w:r>
        <w:rPr>
          <w:b/>
        </w:rPr>
        <w:t xml:space="preserve">Quelle: </w:t>
      </w:r>
      <w:r>
        <w:t>https://mcp.opencaselaw.ch/entscheid/ge_gerichte_ATA_201_2021</w:t>
      </w:r>
    </w:p>
    <w:p>
      <w:r>
        <w:t>FR: GE_GERICHTE ATA/201/2021 du 23 février 2021</w:t>
      </w:r>
    </w:p>
    <w:p>
      <w:r>
        <w:t>IT: GE_GERICHTE ATA/201/2021 del 23 febbraio 2021</w:t>
      </w:r>
    </w:p>
    <w:p>
      <w:pPr>
        <w:pStyle w:val="Heading2"/>
      </w:pPr>
      <w:r>
        <w:t>Regeste</w:t>
      </w:r>
    </w:p>
    <w:p>
      <w:r>
        <w:t>Résumé: En cas d'atteinte portée à des proches de la victime, le juge ne peut dépasser le plafond de CHF 35'000.- fixé par la LAVI, même si, en raison des circonstances exceptionnelles du cas d'espèce, la situation de la recourante se rapproche davantage de celle d'une victime. Compte tenu de l'impossibilité de procéder à une reformatio in pejus, le montant accordé à titre d'indemnisation du tort moral par l'instance d'indemnisation LAVI sera confirmé. Rejet du recours.</w:t>
      </w:r>
    </w:p>
    <w:p>
      <w:pPr>
        <w:pStyle w:val="Heading2"/>
      </w:pPr>
      <w:r>
        <w:t>Erwägungen</w:t>
      </w:r>
    </w:p>
    <w:p>
      <w:r>
        <w:rPr>
          <w:b/>
        </w:rPr>
        <w:t>E. 12</w:t>
      </w:r>
    </w:p>
    <w:p>
      <w:r>
        <w:t>septembre 1985 - LPA - E 5 10). 2)</w:t>
      </w:r>
    </w:p>
    <w:p>
      <w:r>
        <w:t>Le litige porte sur la conformité au droit de l'ordonnance de l'instance LAVI accordant à la recourante une indemnité pour tort moral réduite à CHF 40'000.- à la suite du décès de sa fille le 23 août 2012.</w:t>
      </w:r>
    </w:p>
    <w:p>
      <w:r>
        <w:t>En lieu et place, la recourante réclame l'allocation d'une indemnité de CHF 80'000.-. 3)</w:t>
      </w:r>
    </w:p>
    <w:p>
      <w:r>
        <w:t>Selon l'art. 61 LPA, le recours peut être formé pour violation du droit, y compris l'excès et l'abus du pouvoir d'appréciation (al. 1 let. a) et pour</w:t>
      </w:r>
    </w:p>
    <w:p>
      <w:r>
        <w:t>- 6/14 - A/2074/2020 constatation inexacte ou incomplète des faits pertinents (al. 1 let. b) ; les juridictions administratives n'ont pas compétence pour apprécier l'opportunité de la décision attaquée, sauf exception prévue par la loi (al. 2). 4) a. 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w:t>
      </w:r>
    </w:p>
    <w:p>
      <w:r>
        <w:t>b. Il n'est pas contesté que la recourante a la qualité de proche de la victime (art. 1 al. 2 LAVI), que les délais de l'art. 25 LAVI ont été respectés et que M. E______ est insolvable (art. 4 al. 1 LAVI).</w:t>
      </w:r>
    </w:p>
    <w:p>
      <w:r>
        <w:t>Ainsi, seule est litigieuse la quotité de la préparation morale allouée à la recourante en application des art. 22 ss LAVI.</w:t>
      </w:r>
    </w:p>
    <w:p>
      <w:r>
        <w:t>5) a. Selon l'art. 22 al. 1 LAVI, la victime a droit à une réparation morale lorsque la gravité de l'atteinte le justifie ; les art. 47 et 49 de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w:t>
      </w:r>
    </w:p>
    <w:p>
      <w:r>
        <w:t>La réparation morale constitue désormais un droit (FF 2005 6683 p. 6742). 6) a. En vertu de l’art. 23 LAVI, le montant de la réparation morale est fixé en fonction de la gravité de l’atteinte. Il ne peut excéder CHF 35'000.-, lorsque l’ayant droit est un proche (art. 23 al. 2 let. b LAVI).</w:t>
      </w:r>
    </w:p>
    <w:p>
      <w:r>
        <w:t>b.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w:t>
      </w:r>
    </w:p>
    <w:p>
      <w:r>
        <w:t>- 7/14 - A/2074/2020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w:t>
      </w:r>
    </w:p>
    <w:p>
      <w:r>
        <w:t>c.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w:t>
      </w:r>
    </w:p>
    <w:p>
      <w:r>
        <w:t>e.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 118 II 410). 7) a.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w:t>
      </w:r>
    </w:p>
    <w:p>
      <w:r>
        <w:t>- 8/14 - A/2074/2020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w:t>
      </w:r>
    </w:p>
    <w:p>
      <w:r>
        <w:t>b. 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Outre la gravité de la souffrance éprouvée par les proches, le Tribunal fédéral prend en considération notamment les circonstances du décès (arrêt du Tribunal fédéral 1A_169/2001 du 7 février 2002 consid. 5.2).</w:t>
      </w:r>
    </w:p>
    <w:p>
      <w:r>
        <w:t>Le Conseil fédéral a proposé un ordre de grandeur qui, pour les proches d'une victime, prévoit les montants suivants : CHF 25'000.- à CHF 35'000.- pour un proche qui a très considérablement réaménagé sa vie pour s'occuper de la victime ou qui a la charge de soins ou d'un accompagnement très important envers la victime ; CHF 20'000.- à CHF 30'000.- pour la perte du conjoint ou partenaire ; CHF 10'000.- à CHF 20'000.- pour la perte d'un enfant ; CHF 8'000.- à CHF 18'000.- pour la perte du père ou de la mère ; CHF 0.- à CHF 8'000.- pour la perte d'un frère ou d'une sœur ; en tenant compte de critères tels que l'existence d'un ménage commun, l'intensité des liens, l'âge de la victime et de l'enfant.</w:t>
      </w:r>
    </w:p>
    <w:p>
      <w:r>
        <w:t>Le Conseil fédéral peut adapter périodiquement ces montants maximaux au renchérissement (art. 45 al. 1 LAVI). Cette adaptation est d'autant plus importante que, contrairement au droit civil, le montant de la réparation morale est plafonné (FF 2005 6756). Selon les tableaux de l'office fédéral de la statistique, l'indice total a baissé depuis 2010 (https://www.bfs.admin.ch/asset/fr/cc-f-05.02.08).</w:t>
      </w:r>
    </w:p>
    <w:p>
      <w:r>
        <w:t>c.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w:t>
      </w:r>
    </w:p>
    <w:p>
      <w:r>
        <w:t>- 9/14 - A/2074/2020</w:t>
      </w:r>
    </w:p>
    <w:p>
      <w:r>
        <w:t>Il en ressort désormais les montants suivants : CHF 25'000.- à CHF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 ; jusqu'à CHF 10'000.- pour le décès d'un frère ou d'une sœur lorsque sa relation avec le demandeur était particulièrement étroite ou en cas de ménage commun (guide p. 17).</w:t>
      </w:r>
    </w:p>
    <w:p>
      <w:r>
        <w:t>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précité consid. 4.3). Dans un souci d'application uniforme et équitable de la loi, il peut être tenu compte des recommandations qui y sont mentionnées (ATA/595/2020 du 16 juin 2020 consid. 8b). 8) a. La chambre administrative se fonde sur la jurisprudence rendue en la matière, et, vu le renvoi opéré par l'art. 22 al. 1 LAVI, sur la jurisprudence rendue en matière d'indemnisation du tort moral sur la base de l'art. 49 CO (SJ 2003 II p. 7) ou, le cas échéant, l'art. 47 CO.</w:t>
      </w:r>
    </w:p>
    <w:p>
      <w:r>
        <w:t>En matière de réparation du tort moral, une comparaison avec d'autres causes ne doit toutefois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t>b. D'après la doctrine récente, certains tribunaux cantonaux ont, parfois, alloué des sommes suivantes en cas de décès : CHF 6'000.- à des enfants âgés de 14 et 6 ans dont le frère de 16 ans est décédé dans un accident de voiture (réduction de 50 % à CHF 3'000.- en raison de la faute propre), CHF 8'000.- dans le cas d'une sœur tuée par son conjoint avec un couteau de cuisine ; CHF 12'000.- et CHF 13'000.- au père et à la mère d'un enfant tué avec un couteau lors d'une dispute ; CHF 17'000.- au père d'un enfant de 16 ans décédé dans un accident de voiture (réduction de 50 % à CHF 8'500.- en raison de la propre faute) ; CHF 20'000.- dans le cas d'une fille tuée par son conjoint avec un couteau de cuisine, puis suicide ; CHF 20'000.- dans le cas d'un fils unique adulte tué sur sa place de travail ; CHF 20'000.- dans le cas d'un fils majeur tué, traumatisme induit par une mort atroce (Meret BAUMANN/Blanca ANABITARTE/ Sandra MÜLLER GMÜNDER, La pratique en matière de réparation morale à titre d’aide aux victimes – Fixation des montants de la réparation morale selon la LAVI révisée, in Jusletter 8 juin 2015, p. 6 et 7).</w:t>
      </w:r>
    </w:p>
    <w:p>
      <w:r>
        <w:t>- 10/14 - A/2074/2020</w:t>
      </w:r>
    </w:p>
    <w:p>
      <w:r>
        <w:t>La doctrine relève également qu'en matière d'homicide, on constate que la marge de manœuvre jusqu'à CHF 35'000.- laissée par le législateur est intégralement utilisée. On observe des écarts importants par rapport au guide dans les montants de réparation élevés, notamment en cas de décès de la mère ou du père. La fourchette allant de CHF 8'000.- à CHF 18'000.- prévue par le message relatif à la LAVI et reprise par l'OFJ paraît inadaptée lorsque des enfants mineurs perdent la personne qui leur est la plus proche et lorsqu'un évènement bouleverse la vie du demandeur. Dans ces cas, une réparation morale plus élevée doit être accordée. Compte tenu du fait que l'homicide induit de manière notoire chez la personne la plus proche un tort moral important et lui occasionne en règle générale une atteinte psychique – qui peut s'avérer parfois d'une ampleur considérable –, on peut se demander si le plafond de CHF 35'000.- ne devrait pas être revu à la hausse. Les autorités cantonales LAVI verraient ainsi leur marge de manœuvre accrue et pourraient allouer, dans des situations particulièrement tragiques, une réparation morale plus élevée à ceux dont la vie a profondément été modifiée par l'infraction (Meret BAUMANN/Blanca ANABITARTE/ Sandra MÜLLER GMÜNDER, op. cit., p. 9).</w:t>
      </w:r>
    </w:p>
    <w:p>
      <w:r>
        <w:t>Dans un arrêt du 8 novembre 2016 (ATA/949/2016), la chambre administrative a confirmé la décision de l'instance LAVI qui avait octroyé aux quatre enfants du défunt, ce dernier ayant fait l’objet d’un meurtre, une indemnité pour tort moral de CHF 20'000.-, le montant fixé dans le prononcé civil rendu par le Tribunal criminel s’élevant à CHF 30'000.- par enfant. Le montant des indemnités octroyé par l'instance LAVI correspondait au maximum prévu par le message du Conseil fédéral et par le guide, majoré de CHF 2'000.- et était partant conforme au droit. Le Tribunal fédéral, confirmant l’arrêt précité, a considéré que les instances précédentes avaient fixé le montant de l'indemnisation morale de manière autonome et appliqué le facteur de réduction (qui peut être de l'ordre d'un tiers et aller jusqu'à 40 % ; arrêt du Tribunal fédéral 1C_542/2015 du 28 janvier 2016 consid. 4.2) qui est désormais imposé par le droit fédéral (arrêt du Tribunal fédéral 1C_586/2016 du 11 avril 2017 consid. 4.4). 9)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aussi, dans d'autres cas, permettre à l'autorité LAVI de s'écarter d'une indemnité manifestement insuffisante (ATF 129 II 312 consid. 2.8).</w:t>
      </w:r>
    </w:p>
    <w:p>
      <w:r>
        <w:t>b. S'agissant en particulier de l'établissement des faits, la jurisprudence se réfère à la pratique relative au retrait du permis de conduire : afin d'éviter des décisions contradictoires, l'autorité administrative ne doit pas s'écarter sans raison</w:t>
      </w:r>
    </w:p>
    <w:p>
      <w:r>
        <w:t>- 11/14 - A/2074/2020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10) L'art. 190 de la Constitution fédérale de la Confédération suisse du 18 avril 1999 (Cst. - RS 101) prévoit que le Tribunal fédéral et les autres autorités sont tenus d’appliquer les lois fédérales et le droit international. En cas de contradiction entre une loi fédérale et la Cst., l'autorité qui statue peut relever celle-là, mais n'en doit pas moins appliquer la disposition de la loi fédérale en cause (ATF 135 II 384 consid. 3.1 et les arrêts cités). En revanche, en cas de contradiction entre une loi fédérale et le droit international, ce dernier prévaut en principe (ATF 133 V 367 consid. 11.1.1 ; 125 II 417 consid. 4c et les arrêts cités). 11) La recourante estime que l'autorité intimée n'a pas pris en considération la gravité des souffrances psychiques qu'elle a endurées et endure encore à ce jour. Le plafond de l'art. 23 al. 2 let. b LAVI serait arbitraire, ne permettant pas de tenir compte des circonstances concrètes en cas d'atteinte extrême et vu celui fixé pour la victime elle-même. Cette somme n'aurait pas non plus été renchérie depuis son introduction (art. 45 al. 1 LAVI).</w:t>
      </w:r>
    </w:p>
    <w:p>
      <w:r>
        <w:t>En tenant compte des particularités du cas d'espèce, l'intimée a alloué à la recourante une indemnité de CHF 40'000.-, dépassant le seuil maximal fixé par le législateur fédéral en cas d'indemnisation du tort moral vécu par les proches de la victime. Ainsi, se pose à ce stade la question de savoir si ce montant peut être encore augmenté.</w:t>
      </w:r>
    </w:p>
    <w:p>
      <w:r>
        <w:t>Statuant sur les conclusions civiles de la recourante, le Tribunal criminel a relevé l'intensité de la souffrance engendrée par la perte de sa fille, accentuée par les circonstances ayant entouré l'assassinat de celle-ci. Le juge pénal a ainsi constaté que la recourante souffrait depuis six ans de graves séquelles psychiques qui allaient perdurer pendant des années, voire à jamais. Elle était constamment sur le qui-vive, ne faisait plus confiance à personne, se demandait depuis six ans si sa fille avait souffert et se sentait responsable de ce qui lui était arrivé, dans la mesure où elle-même avait introduit l'auteur des faits dans sa vie. La négation des faits par ce dernier durant toute la procédure n'avait fait qu'ajouter à sa souffrance. La psychiatre de la recourante a en effet confirmé que sa patiente n'avait plus de vie personnelle et restait vivante pour ses deux autres enfants.</w:t>
      </w:r>
    </w:p>
    <w:p>
      <w:r>
        <w:t>Devant la CPAR, la recourante a maintenu ses déclarations. Statuant sur appel du prévenu, ladite instance a relevé l'atrocité du crime, visant à faire payer une petite fille de 12 ans de sa vie d'avoir été la victime des pulsions sexuelles de celui-ci. En plus d'un égoïsme absolu, il avait fait preuve d'une absence particulière de scrupules.</w:t>
      </w:r>
    </w:p>
    <w:p>
      <w:r>
        <w:t>- 12/14 - A/2074/2020</w:t>
      </w:r>
    </w:p>
    <w:p>
      <w:r>
        <w:t>Dans le cadre de la présente procédure, les certificats médicaux produits attestent que la recourante reste très affectée par le décès tragique de sa fille et présente encore un état de stress post-traumatique et un état anxieux. Depuis 2012, elle bénéficie d'un suivi psychiatrique hebdomadaire et d'un traitement médicamenteux. Ne pouvant pas supporter de vivre dans l'appartement où sa fille a été assassinée, elle a été contrainte de déménager, pour s'installer près du cimetière, de sorte qu'elle peut désormais s'adresser à son enfant tous les jours. Si la recourante a pu reprendre une activité professionnelle depuis début 2020 après sept ans d'incapacité de travail, sa vie personnelle, mais aussi celle de ses deux enfants demeurent très marquées par la disparition de B______. La recourante craint sans cesse pour leur vie, ne faisant plus confiance en l'humain.</w:t>
      </w:r>
    </w:p>
    <w:p>
      <w:r>
        <w:t>S'agissant de la fixation du tort moral résultant de la perte d'un enfant, le guide préconise depuis 2019 une fourchette comprise entre CHF 10'000.- et CHF 35'000.-. Toutefois, la doctrine soulève en certaines hypothèses l'inadéquation de ce seuil maximal, au vu de la souffrance endurée par les proches, se confondant avec celle d'une victime.</w:t>
      </w:r>
    </w:p>
    <w:p>
      <w:r>
        <w:t>En l'occurrence, la vie de la recourante a été bouleversée à jamais par la disparition de sa fille et les conditions atroces de celle-ci. Bien qu'elle ait changé de logement, ses sentiments d'insécurité et de culpabilité persistent, influençant son quotidien et celui de ses enfants. Près de neuf ans après les faits, elle doit poursuivre son suivi psychiatrique et son traitement médicamenteux.</w:t>
      </w:r>
    </w:p>
    <w:p>
      <w:r>
        <w:t>Au regard de la jurisprudence en matière de fixation de l'indemnité pour tort moral, le montant élevé (CHF 100'000.-) accordé à ce titre par le Tribunal criminel souligne la gravité du préjudice subi par la recourante. Le contexte particulièrement dramatique imposerait de considérer que la situation de l'intéressée s'apparente davantage à celle d'une victime, justifiant exceptionnellement de lui accorder un montant plus élevé comme indemnisation de son tort moral, sous peine que celle-ci paraisse dérisoire.</w:t>
      </w:r>
    </w:p>
    <w:p>
      <w:r>
        <w:t>Nonobstant ces éléments, les autorités cantonales restent tenues d'appliquer les lois fédérales, de sorte que, face à un texte clair comme en l'espèce, il n'est pas possible d'aller au-delà du plafond maximum de CHF 35'000.- prévu par l'art. 23 al. 2 let. b LAVI (ATA/851/2018 du 21 août 2018 consid. 10). Aussi insatisfaisant et inadéquat que ce résultat puisse paraître, notamment s'agissant de cas d'une telle gravité, seul le législateur fédéral dispose de la compétence d'augmenter le plafond d'indemnisation prévu par la LAVI. Cela étant, bien que le montant accordé in casu par l'autorité intimée soit supérieur à ladite limite, l'impossibilité de procéder à une reformatio in pejus ne permet pas de revenir sur celui-ci.</w:t>
      </w:r>
    </w:p>
    <w:p>
      <w:r>
        <w:t>En conséquence, le recours sera rejeté et la décision attaquée confirmée.</w:t>
      </w:r>
    </w:p>
    <w:p>
      <w:r>
        <w:t>- 13/14 - A/2074/2020</w:t>
      </w:r>
    </w:p>
    <w:p>
      <w:r>
        <w:t>Au surplus, en raison de l'absence d'une substantielle évolution du coût de la vie depuis 2009, date de l'entrée en vigueur de la nouvelle LAVI, l'argument de la recourante relatif à une éventuelle nécessité d'augmenter les seuils fixés par le législateur sur la base de l'art. 45 al. 1 LAVI n'apparaît pas pertinent. Ce point ne saurait au demeurant avoir d'incidence en l'espèce compte tenu des considérations qui précèdent. 12) La procédure étant gratuite, aucun émolument ne sera prélevé (art. 30 al. 1 LAVI et 87 al. 1 LPA).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