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ATA/201/2011 vom 29. März 2011</w:t>
      </w:r>
    </w:p>
    <w:p>
      <w:r>
        <w:t>GE Cour de justice, 2011-03-29, FR</w:t>
      </w:r>
    </w:p>
    <w:p>
      <w:r>
        <w:rPr>
          <w:b/>
        </w:rPr>
        <w:t xml:space="preserve">Quelle: </w:t>
      </w:r>
      <w:r>
        <w:t>https://mcp.opencaselaw.ch/entscheid/ge_gerichte_ATA_201_2011</w:t>
      </w:r>
    </w:p>
    <w:p>
      <w:r>
        <w:t>FR: GE_GERICHTE ATA/201/2011 du 29 mars 2011</w:t>
      </w:r>
    </w:p>
    <w:p>
      <w:r>
        <w:t>IT: GE_GERICHTE ATA/201/2011 del 29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LPA dans sa teneur au 31 décembre 2010).</w:t>
      </w:r>
    </w:p>
    <w:p>
      <w:r>
        <w:rPr>
          <w:b/>
        </w:rPr>
        <w:t>E. 3</w:t>
      </w:r>
    </w:p>
    <w:p>
      <w:r>
        <w:t>La commission a déclaré le recours irrecevable pour défaut de motivation, malgré le délai qui a été accordé à la recourante à sa demande.</w:t>
      </w:r>
    </w:p>
    <w:p>
      <w:r>
        <w:t>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b. L’exigence de motivation de l’art. 65 al. 2 LPA a pour but de permettre à la juridiction administrative de déterminer l’objet du litige qui lui est soumis et de donner l’occasion à la partie intimée de répondre aux griefs formulés à son encontre (ATA/309/2010 du 4 mai 2010 consid. 2 ; ATA/156/2010 du 9 mars 2010 consid. 1 ; ATA/32/2010 du 19 janvier 2010 consid. 2 et jurisprudence citée ; P. MOOR, Droit administratif, Vol. II, Berne 2002, 2ème éd., pp. 672-674 n. 5.7.1.3). Elle signifie que le recourant doit expliquer en quoi et pourquoi il s’en prend à la décision litigieuse. Il ne suffit pas, par exemple,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doit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w:t>
      </w:r>
    </w:p>
    <w:p>
      <w:r>
        <w:t>- 6/8 - A/1908/2009 savoir qu’il appartient au recourant de prendre position par rapport au jugement (ou à la décision) attaqué(e) et d’expliquer en quoi et pourquoi il s’en prend à celui-ci (celle-ci) (ATA/32/2010 du 19 janvier 2010 consid. 2 ; ATA/28/2009 du 20 janvier 2009 consid. 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(ATA précités ; B. BOVAY, op. cit. p. 388).</w:t>
      </w:r>
    </w:p>
    <w:p>
      <w:r>
        <w:rPr>
          <w:b/>
        </w:rPr>
        <w:t>E. 4</w:t>
      </w:r>
    </w:p>
    <w:p>
      <w:r>
        <w:t>En l'espèce, l'avocat de la recourante a sollicité de la commission un délai, qui lui a été accordé, afin de pouvoir compléter le recours déposé contre la décision rendue par le l’OCIRT. Un rappel recommandé lui a été adressé car le complément de recours n'avait pas été produit. Le courrier alors transmis par le conseil de la recourante, du 16 avril 2010, mentionne le numéro de la présente cause en exergue mais ne contient pas de motivation en lien avec la décision attaquée et correspondant aux exigences rappelées ci-dessus.</w:t>
      </w:r>
    </w:p>
    <w:p>
      <w:r>
        <w:t>En conséquence, c'est à juste titre que la commission a déclaré le recours déposé en ses mains irrecevable.</w:t>
      </w:r>
    </w:p>
    <w:p>
      <w:r>
        <w:t>La chambre administrative relèvera en dernier lieu que les arguments développés devant elle par la recourante ne peuvent modifier cette issue. Il n'appartenait pas à la commission de procéder à des actes d'instruction avant que la motivation du recours ne lui ait été communiquée. On ne voit d'autre part pas en quoi le présent litige aurait dû être jugé en même temps que la cause A/1909/2009, qui était rayée du rôle de la commission suite au retrait du recours le 21 décembre 2009.</w:t>
      </w:r>
    </w:p>
    <w:p>
      <w:r>
        <w:rPr>
          <w:b/>
        </w:rPr>
        <w:t>E. 5</w:t>
      </w:r>
    </w:p>
    <w:p>
      <w:r>
        <w:t>Le recours sera en conséquence rejeté. Malgré cette issue, aucun émolument ne sera mis à la charge de Mme S______, qui plaide au bénéfice de l'assistance juridique (art. 87 LPA ; art. 12 du règlement sur les frais, émoluments et indemnités en procédure administrative du 30 juillet 1986 - RFPA - E 5 10.03).</w:t>
      </w:r>
    </w:p>
    <w:p>
      <w:r>
        <w:rPr>
          <w:b/>
        </w:rPr>
        <w:t>E. 6</w:t>
      </w:r>
    </w:p>
    <w:p>
      <w:r>
        <w:t>Un tirage du présent arrêt sera transmis, pour information, à la commission du barreau.</w:t>
      </w:r>
    </w:p>
    <w:p>
      <w:r>
        <w:t>* * * * *</w:t>
      </w:r>
    </w:p>
    <w:p>
      <w:r>
        <w:t>- 7/8 - A/1908/2009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