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ATA/19/2025 vom 7. Januar 2025</w:t>
      </w:r>
    </w:p>
    <w:p>
      <w:r>
        <w:t>GE Cour de justice, 2025-01-07, FR</w:t>
      </w:r>
    </w:p>
    <w:p>
      <w:r>
        <w:rPr>
          <w:b/>
        </w:rPr>
        <w:t xml:space="preserve">Quelle: </w:t>
      </w:r>
      <w:r>
        <w:t>https://mcp.opencaselaw.ch/entscheid/ge_gerichte_ATA_19_2025</w:t>
      </w:r>
    </w:p>
    <w:p>
      <w:r>
        <w:t>FR: GE_GERICHTE ATA/19/2025 du 7 janvier 2025</w:t>
      </w:r>
    </w:p>
    <w:p>
      <w:r>
        <w:t>IT: GE_GERICHTE ATA/19/2025 del 7 gennaio 2025</w:t>
      </w:r>
    </w:p>
    <w:p>
      <w:pPr>
        <w:pStyle w:val="Heading2"/>
      </w:pPr>
      <w:r>
        <w:t>Erwägungen</w:t>
      </w:r>
    </w:p>
    <w:p>
      <w:r>
        <w:rPr>
          <w:b/>
        </w:rPr>
        <w:t>E. 1</w:t>
      </w:r>
    </w:p>
    <w:p>
      <w:r>
        <w:t>Le présent arrêt fait suite à celui du Tribunal fédéral du 30 octobre 2024 (9C_176/2024).</w:t>
      </w:r>
    </w:p>
    <w:p>
      <w:r>
        <w:t>- 3/5 - A/1227/2022</w:t>
      </w:r>
    </w:p>
    <w:p>
      <w:r>
        <w:rPr>
          <w:b/>
        </w:rPr>
        <w:t>E. 1.1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6B_904/2020 du 7 septembre 2020 consid. 1.1 et les références citées).</w:t>
      </w:r>
    </w:p>
    <w:p>
      <w:r>
        <w:rPr>
          <w:b/>
        </w:rPr>
        <w:t>E. 1.2</w:t>
      </w:r>
    </w:p>
    <w:p>
      <w:r>
        <w:t>En l’espèce, à la suite de l’arrêt de renvoi du Tribunal fédéral, demeurent seuls litigieux l'émolument et l'indemnité de procédure devant la chambre de céans ainsi que devant le TAPI.</w:t>
      </w:r>
    </w:p>
    <w:p>
      <w:r>
        <w:rPr>
          <w:b/>
        </w:rPr>
        <w:t>E. 2</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w:t>
      </w:r>
    </w:p>
    <w:p>
      <w:r>
        <w:rPr>
          <w:b/>
        </w:rPr>
        <w:t>E. 2.2</w:t>
      </w:r>
    </w:p>
    <w:p>
      <w:r>
        <w:t>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w:t>
      </w:r>
    </w:p>
    <w:p>
      <w:r>
        <w:t>- 4/5 - A/1227/2022 qu'une participation aux honoraires d'avocat (ATA/823/2018 du 14 août 2018 consid. 2 ; ATA/1484/2017 précité ; arrêt du Tribunal fédéral 2C_152/2010 du 24 août 2010),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(ATA/1031/2018 du 2 octobre 2018 consid. 2b ; ATA/1156/2017 du 2 août 2017).</w:t>
      </w:r>
    </w:p>
    <w:p>
      <w:r>
        <w:rPr>
          <w:b/>
        </w:rPr>
        <w:t>E. 2.3</w:t>
      </w:r>
    </w:p>
    <w:p>
      <w:r>
        <w:t>En l’espèce, il ressort de l’arrêt du Tribunal fédéral que la chambre de céans a considéré à tort que l’AFC-GE pouvait soumettre la somme de CHF 317'540.- à l’IFD et à l’ICC. Seul un montant de CHF 46'060.- aurait dû être pris en compte à ce titre pour la période fiscale en cause. La recourante obtient ainsi entièrement gain de cause sur le point qu’elle contestait. Le TAPI avait renoncé à percevoir un émolument et condamné l’État de Genève à verser des dépens de CHF 1'000.- à la contribuable. Ces frais de procédure – qui n’ont pas été contestés – seront repris. Aucun émolument ne sera mis à la charge de la contribuable pour la procédure devant la chambre de céans (art. 87 al. 1 LPA). Enfin, dès lors que la contribuable a obtenu gain de cause par l’intermédiaire d’un mandataire, elle a droit à des dépens pour la procédure devant la chambre de céans. Si l'état de faits ne présentait pas de complexité particulière, la question juridique à traiter était plus délicate. Ainsi, tenant compte de l’activité déployée pour la défense de ses intérêts devant la chambre de céans, soit la rédaction d’une écriture, et de la complexité de la question juridique, une indemnité de procédure de CHF 2’500.- lui sera allouée. 3. Conformément à la pratique courante de la chambre de céans, il ne sera pas perçu d'émolument, ni alloué d'indemnité de procédure pour le présent arrêt.</w:t>
      </w:r>
    </w:p>
    <w:p>
      <w:r>
        <w:t>* * * * *</w:t>
      </w:r>
    </w:p>
    <w:p>
      <w:r>
        <w:rPr>
          <w:b/>
        </w:rPr>
        <w:t>E. 7</w:t>
      </w:r>
    </w:p>
    <w:p>
      <w:r>
        <w:t>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