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ATA/199/2021 vom 23. Februar 2021</w:t>
      </w:r>
    </w:p>
    <w:p>
      <w:r>
        <w:t>GE Cour de justice, 2021-02-23, FR</w:t>
      </w:r>
    </w:p>
    <w:p>
      <w:r>
        <w:rPr>
          <w:b/>
        </w:rPr>
        <w:t xml:space="preserve">Quelle: </w:t>
      </w:r>
      <w:r>
        <w:t>https://mcp.opencaselaw.ch/entscheid/ge_gerichte_ATA_199_2021</w:t>
      </w:r>
    </w:p>
    <w:p>
      <w:r>
        <w:t>FR: GE_GERICHTE ATA/199/2021 du 23 février 2021</w:t>
      </w:r>
    </w:p>
    <w:p>
      <w:r>
        <w:t>IT: GE_GERICHTE ATA/199/2021 del 23 febbraio 2021</w:t>
      </w:r>
    </w:p>
    <w:p>
      <w:pPr>
        <w:pStyle w:val="Heading2"/>
      </w:pPr>
      <w:r>
        <w:t>Erwägungen</w:t>
      </w:r>
    </w:p>
    <w:p>
      <w:r>
        <w:rPr>
          <w:b/>
        </w:rPr>
        <w:t>E. 12</w:t>
      </w:r>
    </w:p>
    <w:p>
      <w:r>
        <w:t>septembre 1985 - LPA - E 5 10). 2)</w:t>
      </w:r>
    </w:p>
    <w:p>
      <w:r>
        <w:t>Le recourant sollicite son audition par la chambre de céans. 3) a. Le droit d’être entendu, garanti par les art. 29 al. 2 de la Constitution fédérale de la Confédération suisse du 18 avril 1999 (Cst. - RS 101) et 6 § 1 CEDH,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w:t>
      </w:r>
    </w:p>
    <w:p>
      <w:r>
        <w:t>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w:t>
      </w:r>
    </w:p>
    <w:p>
      <w:r>
        <w:t>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w:t>
      </w:r>
    </w:p>
    <w:p>
      <w:r>
        <w:t>c. La procédure administrative est en principe écrite, toutefois si le règlement et la nature de l’affaire le requièrent, l’autorité peut procéder oralement (art. 18 LPA). Le droit d'être entendu quant à lui ne comprend pas le droit à une audition orale (ATF 140 I 285 consid. 6.3.1 ; arrêt du Tribunal fédéral 2D_51/2018 du</w:t>
      </w:r>
    </w:p>
    <w:p>
      <w:r>
        <w:rPr>
          <w:b/>
        </w:rPr>
        <w:t>E. 17</w:t>
      </w:r>
    </w:p>
    <w:p>
      <w:r>
        <w:t>novembre 2014 consid. 4.3)</w:t>
      </w:r>
    </w:p>
    <w:p>
      <w:r>
        <w:t>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w:t>
      </w:r>
    </w:p>
    <w:p>
      <w:r>
        <w:t>- 11/16 - A/3851/2019 lorsque l'étranger a séjourné en Suisse de manière illégale, sous peine de récompenser l'obstination à violer la loi (ATF 130 II 39 consid. 3 ; arrêt du Tribunal fédéral 2D_13/2016 du 11 mars 2016 consid. 3.2). 11)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 sejour-cadre-papyrus/criteres-respecter)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w:t>
      </w:r>
    </w:p>
    <w:p>
      <w:r>
        <w:t>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 175000).</w:t>
      </w:r>
    </w:p>
    <w:p>
      <w:r>
        <w:t>c. Le projet pilote Papyrus a pris fin le 31 décembre 2018, date limite pour le dépôt des dossiers de régularisation auprès de l'OCPM (https://www.ge.ch/ regulariser-mon-statut-sejour-cadre-papyrus, consulté le 6 juillet 2020).</w:t>
      </w:r>
    </w:p>
    <w:p>
      <w:r>
        <w:t>- 12/16 - A/3851/2019 12) En l'espèce, le recourant ne conteste pas ne pas réaliser la condition du séjour continu de dix ans minimum de l'opération Papyrus, de sorte que c'est à juste titre que l'autorité intimée et le TAPI ont examiné sa situation au regard des art. 30 al. 1 let. b LEI et 31 OASA.</w:t>
      </w:r>
    </w:p>
    <w:p>
      <w:r>
        <w:t>Le recourant a rendu vraisemblable sa présence en Suisse depuis le mois de juin 2012, soit une durée de séjour de plus de huit ans, ce qui constitue un séjour assez long selon la jurisprudence. Néanmoins, conformément à celle-ci et comme l'a à juste titre constaté l'instance précédente, la durée du séjour du recourant doit être relativisée, puisque le recourant a vécu illégalement en Suisse jusqu'à sa demande d'autorisation de séjour, puis au bénéfice de la tolérance des autorités cantonales pendant l'instruction de sa demande.</w:t>
      </w:r>
    </w:p>
    <w:p>
      <w:r>
        <w:t>Par ailleurs, s'il est louable que le recourant ait travaillé dans le domaine de la construction depuis 2014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ne lui permet donc pas de se prévaloir d'une intégration professionnelle exceptionnelle au sens de la jurisprudence précitée.</w:t>
      </w:r>
    </w:p>
    <w:p>
      <w:r>
        <w:t>Le recourant met en avant le fait qu'il ne figure pas au casier judiciaire suisse, parle couramment français, a de nombreux amis et connaissances en Suisse et fait partie d'un club de football. Cependant, ces seuls faits ne suffisent pas à consacrer l'existence d'une intégration sociale particulièrement poussée justifiant une exception aux mesures de limitation.</w:t>
      </w:r>
    </w:p>
    <w:p>
      <w:r>
        <w:t>S'agissant de ses possibilités de réintégration dans son pays d'origine, le recourant, actuellement âgé de 25 ans, est né au Kosovo, pays dont il parle la langue et où il a vécu son enfance et une partie non négligeable de son adolescence. Il a donc passé dans ce pays les années déterminantes pour le développement de sa personnalité. Il y a en outre encore de la famille, à qui il rend d'ailleurs régulièrement visite, ayant demandé, en 2019, deux visas de retour, quand bien même leur durée totale a été relativement brève. Finalement, de retour dans son pays d'origine, le recourant pourra faire valoir l'expérience professionnelle et les connaissances linguistiques acquises en Suisse.</w:t>
      </w:r>
    </w:p>
    <w:p>
      <w:r>
        <w:t>Dans ces circonstances, il ne ressort pas du dossier que les difficultés auxquelles le recourant devrait faire face en cas de retour au Kosovo seraient pour lui plus graves que pour la moyenne des étrangères et étrangers, en particulier des ressortissantes et ressortissants du Kosovo retournant dans leur pays.</w:t>
      </w:r>
    </w:p>
    <w:p>
      <w:r>
        <w:t>Au vu de ce qui précède, le recourant ne se trouve pas dans une situation de détresse personnelle au sens de l'art. 30 al. 1 let. b LEI. S'il est vrai qu'un retour</w:t>
      </w:r>
    </w:p>
    <w:p>
      <w:r>
        <w:t>- 13/16 - A/3851/2019 dans son pays d'origine pourra engendrer pour lui certaines difficultés, sa situation n'est pas remise en cause de manière accrue et il ne se trouve pas dans une situation si rigoureuse que l'on ne saurait exiger son retour au Kosovo.</w:t>
      </w:r>
    </w:p>
    <w:p>
      <w:r>
        <w:t>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13) a. Selon l'art. 64 al. 1 let. c LEI, toute personne étrangère dont l'autorisation est refusée, révoquée ou qui n'est pas prolongée après un séjour autorisé est renvoyée. La décision de renvoi est assortie d'un délai de départ raisonnable (art. 64d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 ATA/1154/2020 du 17 novembre 2020 consid. 9b ; ATA/630/2020 du 30 juin 2020 consid. 7d).</w:t>
      </w:r>
    </w:p>
    <w:p>
      <w:r>
        <w:t>Par ailleurs, le recourant n'allègue pas – et il ne ressort pas du dossier – que le renvoi serait impossible, illicite ou inexigible.</w:t>
      </w:r>
    </w:p>
    <w:p>
      <w:r>
        <w:t>C'est par conséquent à bon droit que l'autorité intimée a prononcé le renvoi et ordonné son exécution.</w:t>
      </w:r>
    </w:p>
    <w:p>
      <w:r>
        <w:t>Dans ces circonstances, la décision de l'autorité intimée est conforme au droit et le recours contre le jugement du TAPI, entièrement mal fondé, sera rejeté. 14) Vu l'issue du litige, un émolument de CHF 400.- sera mis à la charge du recourant (art. 87 al. 1 LPA), et il ne sera pas alloué d'indemnité de procédure (art. 87 al. 2 LPA). * * * * *</w:t>
      </w:r>
    </w:p>
    <w:p>
      <w:r>
        <w:t>- 14/16 - A/3851/2019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