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ATA/199/2017 vom 16. Februar 2017</w:t>
      </w:r>
    </w:p>
    <w:p>
      <w:r>
        <w:t>GE Cour de justice, 2017-02-16, FR</w:t>
      </w:r>
    </w:p>
    <w:p>
      <w:r>
        <w:rPr>
          <w:b/>
        </w:rPr>
        <w:t xml:space="preserve">Quelle: </w:t>
      </w:r>
      <w:r>
        <w:t>https://mcp.opencaselaw.ch/entscheid/ge_gerichte_ATA_199_2017</w:t>
      </w:r>
    </w:p>
    <w:p>
      <w:r>
        <w:t>FR: GE_GERICHTE ATA/199/2017 du 16 février 2017</w:t>
      </w:r>
    </w:p>
    <w:p>
      <w:r>
        <w:t>IT: GE_GERICHTE ATA/199/2017 del 16 febbraio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74 al. 3 LEtr ; art. 10 al. 1 de la loi d'application de la loi fédérale sur les étrangers du 16 juin 1988 - LaLEtr - F 2 10).</w:t>
      </w:r>
    </w:p>
    <w:p>
      <w:r>
        <w:t>- 4/9 - A/143/2017</w:t>
      </w:r>
    </w:p>
    <w:p>
      <w:r>
        <w:rPr>
          <w:b/>
        </w:rPr>
        <w:t>E. 2</w:t>
      </w:r>
    </w:p>
    <w:p>
      <w:r>
        <w:t>Selon l’art. 10 al. 2 1ère phr. LaLEtr, la chambre administrative doit statuer dans les dix jours qui suivent sa saisine. Ayant reçu le recours le 10 février 2017 et statuant ce jour, elle respecte ce délai.</w:t>
      </w:r>
    </w:p>
    <w:p>
      <w:r>
        <w:t>La chambre administrative est en outre compétente pour apprécier l'opportunité des décisions portées devant elle (art. 10 al. 2 2ème phr. LaLEtr).</w:t>
      </w:r>
    </w:p>
    <w:p>
      <w:r>
        <w:rPr>
          <w:b/>
        </w:rPr>
        <w:t>E. 3</w:t>
      </w:r>
    </w:p>
    <w:p>
      <w:r>
        <w:t>a. Au terme de l’art. 74 al. 1 let. a de la loi fédérale sur les étrangers du 16 décembre 2005 (LEtr - RS 142.20),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 faculté de prendre une telle mesure est accordée à l’autorité indépendamment de l’existence d’une décision exécutoire de renvoi ou d’expulsion non respectée qui constitue l’autre motif spécifique prévu à l’art. 74 al. 1 let. b LEtr pour lequel autorité peut l’ordonner.</w:t>
      </w:r>
    </w:p>
    <w:p>
      <w:r>
        <w:t>b.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w:t>
      </w:r>
    </w:p>
    <w:p>
      <w:r>
        <w:rPr>
          <w:b/>
        </w:rPr>
        <w:t>E. 4</w:t>
      </w:r>
    </w:p>
    <w:p>
      <w:r>
        <w:t>novembre 1950 (CEDH - RS 0.101) et n’a donc pas à satisfaire aux conditions du premier alinéa de cette disposition (Andreas ZÜND in Marc SPESCHA/Hanspeter THÜR/Peter BOLZLI, Migrationsrecht, 4ème éd., 2015, ad art. 74 p. 283 n. 1).</w:t>
      </w:r>
    </w:p>
    <w:p>
      <w:r>
        <w:rPr>
          <w:b/>
        </w:rPr>
        <w:t>E. 5</w:t>
      </w:r>
    </w:p>
    <w:p>
      <w:r>
        <w:t>La jurisprudence du Tribunal fédéral admet que la mesure d’interdiction de pénétrer dans une région déterminée prévue à l’art. 74 LEtr peut s’appliquer à l’entier du territoire d’un canton (arrêt du Tribunal fédéral 2A.253/2006 du 12 mai 2006 ; 2C_231/2007 du 13 novembre 2007), même si le prononcé d’une telle mesure peut paraître problématique au regard du but assigné à une telle mesure.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et réglée.</w:t>
      </w:r>
    </w:p>
    <w:p>
      <w:r>
        <w:rPr>
          <w:b/>
        </w:rPr>
        <w:t>E. 6</w:t>
      </w:r>
    </w:p>
    <w:p>
      <w:r>
        <w:t>Selon l’art. 74 al. 2 LEtr, la compétence d’ordonner les mesures visées à l’art. 74 al. 1 LEtr incombe à l’autorité du canton qui exécute le renvoi ou l’expulsion, mais aussi à l’autorité compétente de celui dans lequel est située la</w:t>
      </w:r>
    </w:p>
    <w:p>
      <w:r>
        <w:t>- 5/9 - A/143/2017 région à interdire. Dans le canton de Genève, cette compétence échoit au commissaire de police (art. 7 al. 2 let. a LaLEtr), dont la décision est soumise au contrôle du TAPI sur opposition de l’intéressé (art. 7 al. 4 let. a LaLEtr).</w:t>
      </w:r>
    </w:p>
    <w:p>
      <w:r>
        <w:rPr>
          <w:b/>
        </w:rPr>
        <w:t>E. 7</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t>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 ATA/315/2010 du 6 mai 2010 ; ATA/185/2008 du 15 avril 2008).</w:t>
      </w:r>
    </w:p>
    <w:p>
      <w:r>
        <w:t>Des indices concrets de délits commis dans le milieu de la drogue ou des contacts avec des extrémistes suffisent à justifier une telle mesure, de même que la violation grossière des règles tacites de la cohabitation sociale (ATA/607/2013 du 12 septembre 2013 consid. 4 ; ATA/46/2013 du 25 janvier 2013 consid. 3 ; ATA/408/2008 du 12 août 2008 et les références citées).</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w:t>
      </w:r>
    </w:p>
    <w:p>
      <w:r>
        <w:rPr>
          <w:b/>
        </w:rPr>
        <w:t>E. 8</w:t>
      </w:r>
    </w:p>
    <w:p>
      <w:r>
        <w:t>Dans le cas d’espèce, l’intimé, ressortissant guinéen au bénéfice d’un titre de séjour en France et de documents d’identité, a pu entrer légalement en Suisse. Il ne lui est pas reproché d’avoir dépassé le délai de trois mois de l’art. 10</w:t>
      </w:r>
    </w:p>
    <w:p>
      <w:r>
        <w:t>- 6/9 - A/143/2017 al. 1 LEtr. Il a fait l’objet de deux contraventions, définitives à ce jour, pour possession de stupéfiants ainsi que d’une ordonnance pénale pour vente de stupéfiants, laquelle n’est pas définitive. Au vu de ces éléments, le commissaire de police pouvait retenir que l’intéressé trouble ou menace la sécurité et l’ordre publics du canton. Il pouvait dès lors, sous l’angle du respect du principe de la légalité, prononcer une mesure d’interdiction de pénétrer dans une région déterminée.</w:t>
      </w:r>
    </w:p>
    <w:p>
      <w:r>
        <w:rPr>
          <w:b/>
        </w:rPr>
        <w:t>E. 9</w:t>
      </w:r>
    </w:p>
    <w:p>
      <w:r>
        <w:t>De telles mesures doivent respecter le principe de la proportionnalité énoncé à l’art. 36 al. 3 de la Constitution fédérale de la Confédération suisse du 18 avril 1999 (Cst. - RS 101).</w:t>
      </w:r>
    </w:p>
    <w:p>
      <w:r>
        <w:t>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p. 175 ; 136 I 197 consid. 4.4.4 p. 205).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2C_1044/2012 du 5 novembre 2012 consid. 3.3 ; 2A.514/2006 du 23 janvier 2007 consid. 3.3.1 ; 2A.583/2000 du 6 avril 2001 consid. 3c).</w:t>
      </w:r>
    </w:p>
    <w:p>
      <w:r>
        <w:t>Ainsi, une mesure interdisant pour six mois à un consommateur de stupéfiants, non titulaire d’un titre de séjour et ayant été condamné pour infraction à l’art. 19 ch. 1 LStup après avoir tenté de se débarrasser de 43 grammes de haschisch, de pénétrer sur une partie du territoire genevois a été rétablie par le Tribunal fédéral (arrêt du Tribunal fédéral 2C_197/2013 du 31 juillet 2013). Une interdiction de pénétrer sur une partie du territoire genevois d’une durée de douze mois prononcée à l’encontre d’une personne condamnée à cinq reprises pour vol, la dernière infraction ayant été faite au préjudice d’une personne âgée de 85 ans a été rétablie par le Tribunal fédéral (arrêt du Tribunal fédéral 2C_1142/2014 du 29 juin 2015). Dans les deux cas, la durée de la mesure n’avait pas été critiquée.</w:t>
      </w:r>
    </w:p>
    <w:p>
      <w:r>
        <w:t>La chambre administrative a confirmé la validité d’une mesure d’interdiction de pénétrer dans le canton de Genève prise par le commissaire de police pour une durée de douze mois à l’encontre d’un étranger condamné à plusieurs reprises pour trafic de stupéfiants. Il s’agissait d’une personne frappée d’une mesure d’interdiction d’entrer en Suisse et déjà expulsée, mais qui était revenue sur territoire genevois pour y commettre de nouvelles infractions (ATA/802/2015 du 7 août 2015).</w:t>
      </w:r>
    </w:p>
    <w:p>
      <w:r>
        <w:t>- 7/9 - A/143/2017</w:t>
      </w:r>
    </w:p>
    <w:p>
      <w:r>
        <w:rPr>
          <w:b/>
        </w:rPr>
        <w:t>E. 10</w:t>
      </w:r>
    </w:p>
    <w:p>
      <w:r>
        <w:t>Il s’agit de déterminer si l’interdiction générale de pénétrer dans le canton de Genève respecte le principe précité comme le recourant le soutient et s’il y a lieu de restreindre l’étendue géographique de la mesure comme le considère le TAPI.</w:t>
      </w:r>
    </w:p>
    <w:p>
      <w:r>
        <w:t>Dans le cas d’espèce, et contrairement à la solution retenue dans l’ATA/1020/2015 du 1er octobre 2015, la mesure incriminée, en ce qu’elle interdit à l’intéressé de pénétrer sur l’ensemble du territoire du canton de Genève, est disproportionnée. M. A______ admet être consommateur de stupéfiants et acquérir, lorsqu’il est à Genève, la drogue qu’il consomme, dans le quartier des Pâquis. La condamnation pour vente de stupéfiants qui lui a été notifiée, et qu’il conteste, de même que ses antécédents, sont sans commune mesure avec la situation ressortant de l’ATA/1020/2015 précité. L’intimé n’appartient pas au cercle des étrangers délinquants qui séjournent sans droit sur le territoire du canton à la suite de l’échec d’une demande d’asile ou d’une requête en autorisation de séjour et dont le renvoi n’a pu être exécuté, soit en raison de leur opposition, soit de la difficulté pratique à organiser celui-ci. Rien n’indique qu’il séjourne dans le canton sans droit, dès lors qu’il a un domicile en France et qu’il apparaît ne faire que des passages à Genève, de courte durée. L’intéressé indique venir à Genève pour y rencontrer une personne déterminée qui, selon le registre de la population, existe effectivement et a une adresse à Genève au domicile de ses parents. Cette affirmation, qui, en l’état, n’est ni confirmée ni infirmée par une déclaration de la personne concernée, ne peut, à première vue, pas être considérée comme totalement fantaisiste.</w:t>
      </w:r>
    </w:p>
    <w:p>
      <w:r>
        <w:t>Dans ces circonstances, si le commissaire de police pouvait prendre une décision d’interdiction de pénétrer dans une région, il ne pouvait sans autre l’étendre à l’entier du canton.</w:t>
      </w:r>
    </w:p>
    <w:p>
      <w:r>
        <w:t>Prise pour une durée de six mois alors que l’art. 74 LEtr ne prévoit aucune durée maximale, la décision querellée respecte donc pleinement le principe de la proportionnalité de ce point de vue.</w:t>
      </w:r>
    </w:p>
    <w:p>
      <w:r>
        <w:rPr>
          <w:b/>
        </w:rPr>
        <w:t>E. 11</w:t>
      </w:r>
    </w:p>
    <w:p>
      <w:r>
        <w:t>Au vu de ce qui précède, le recours sera rejeté et le jugement prononcé par le TAPI le 30 janvier 2017 sera confirmé.</w:t>
      </w:r>
    </w:p>
    <w:p>
      <w:r>
        <w:rPr>
          <w:b/>
        </w:rPr>
        <w:t>E. 12</w:t>
      </w:r>
    </w:p>
    <w:p>
      <w:r>
        <w:t>Aucun émolument de procédure ne sera prélevé (art. 12 du règlement sur les frais, émoluments et indemnités en procédure administrative du 30 juillet 1986 - RFPA - E 5 10.03). Une indemnité de procédure de CHF 1’000.- sera allouée à M. A______, qui a procédé avec l’aide d’un avocat et qui y a conclu (art. 87 al. 2 LPA).</w:t>
      </w:r>
    </w:p>
    <w:p>
      <w:r>
        <w:t>* * * * *</w:t>
      </w:r>
    </w:p>
    <w:p>
      <w:r>
        <w:t>- 8/9 - A/143/2017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