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ATA/197/2012 vom 3. April 2012</w:t>
      </w:r>
    </w:p>
    <w:p>
      <w:r>
        <w:t>GE Cour de justice, 2012-04-03, FR</w:t>
      </w:r>
    </w:p>
    <w:p>
      <w:r>
        <w:rPr>
          <w:b/>
        </w:rPr>
        <w:t xml:space="preserve">Quelle: </w:t>
      </w:r>
      <w:r>
        <w:t>https://mcp.opencaselaw.ch/entscheid/ge_gerichte_ATA_197_2012</w:t>
      </w:r>
    </w:p>
    <w:p>
      <w:r>
        <w:t>FR: GE_GERICHTE ATA/197/2012 du 3 avril 2012</w:t>
      </w:r>
    </w:p>
    <w:p>
      <w:r>
        <w:t>IT: GE_GERICHTE ATA/197/2012 del 3 aprile 2012</w:t>
      </w:r>
    </w:p>
    <w:p>
      <w:pPr>
        <w:pStyle w:val="Heading2"/>
      </w:pPr>
      <w:r>
        <w:t>Regeste</w:t>
      </w:r>
    </w:p>
    <w:p>
      <w:r>
        <w:t>Résumé: Refus d'autorisation de construire une villa dans un village situé en zone 4B protégée confirmée, au motif que l'indice d'utilisation du sol du projet (IUS) viole l'IUS maximum prévu par le plan de site communal. Examen du projet sous l'angle du principe de l'égalité de traitement par rapport à d'autres procédures d'autorisation soumises aux mêmes règles et sises dans le même village.</w:t>
      </w:r>
    </w:p>
    <w:p>
      <w:pPr>
        <w:pStyle w:val="Heading2"/>
      </w:pPr>
      <w:r>
        <w:t>Erwägungen</w:t>
      </w:r>
    </w:p>
    <w:p>
      <w:r>
        <w:rPr>
          <w:b/>
        </w:rPr>
        <w:t>E. 5</w:t>
      </w:r>
    </w:p>
    <w:p>
      <w:r>
        <w:t>Il lui a envoyé un second courrier le 3 juin 2008.</w:t>
      </w:r>
    </w:p>
    <w:p>
      <w:r>
        <w:t>Sa lettre du 22 mai 2008 constituait un avis formel au sens de l’art. 4 al. 4 LCI, qui permettait au requérant n’ayant pas obtenu une décision dans un délai de dix jours suivant cet avis de commencer les travaux. Il procédait ainsi à l’exécution de son projet.</w:t>
      </w:r>
    </w:p>
    <w:p>
      <w:r>
        <w:rPr>
          <w:b/>
        </w:rPr>
        <w:t>E. 6</w:t>
      </w:r>
    </w:p>
    <w:p>
      <w:r>
        <w:t>Le 12 juin 2008, le département a contesté que le courrier précité constitue un avis formel.</w:t>
      </w:r>
    </w:p>
    <w:p>
      <w:r>
        <w:rPr>
          <w:b/>
        </w:rPr>
        <w:t>E. 7</w:t>
      </w:r>
    </w:p>
    <w:p>
      <w:r>
        <w:t>Par décision du 13 juin 2008, le département a refusé l’autorisation sollicitée, au motif principal que le projet, qui prévoyait un IUS de 3,32, n’était pas conforme aux art. 34, 48 et 106 LCI, ainsi qu’aux art. 13 et 14 du règlement du plan de site. Tout autre motif de refus était réservé.</w:t>
      </w:r>
    </w:p>
    <w:p>
      <w:r>
        <w:rPr>
          <w:b/>
        </w:rPr>
        <w:t>E. 8</w:t>
      </w:r>
    </w:p>
    <w:p>
      <w:r>
        <w:t>Le 24 juin 2008, le département a fait interdiction à M. Piletta-Zanin d’ouvrir le chantier en ordonnant, cas échéant, l’arrêt immédiat de celui-ci.</w:t>
      </w:r>
    </w:p>
    <w:p>
      <w:r>
        <w:rPr>
          <w:b/>
        </w:rPr>
        <w:t>E. 9</w:t>
      </w:r>
    </w:p>
    <w:p>
      <w:r>
        <w:t>Par acte du 11 juillet 2008, M. Piletta-Zanin a recouru auprès du Tribunal administratif, devenu depuis le 1er janvier 2011 la chambre administrative de la Cour de justice (ci-après : la chambre administrative), contre le refus d’autorisation de construire du 13 juin 2008, en concluant principalement au constat de sa nullité et « alternativement » à son annulation (cause A/2569/2008).</w:t>
      </w:r>
    </w:p>
    <w:p>
      <w:r>
        <w:t>La décision était nulle car prise en dehors du délai de dix jours accordé au département par l’art. 4 al. 4 LCI pour statuer suite à sa mise en demeure.</w:t>
      </w:r>
    </w:p>
    <w:p>
      <w:r>
        <w:rPr>
          <w:b/>
        </w:rPr>
        <w:t>E. 10</w:t>
      </w:r>
    </w:p>
    <w:p>
      <w:r>
        <w:t>Par acte du même jour, M. Piletta-Zanin a recouru contre cette même décision auprès de la commission cantonale de recours en matière de constructions, devenue le 1er janvier 2009 la commission cantonale de recours en matière administrative (ci-après : la commission) puis, depuis le 1er janvier 2011, le Tribunal administratif de première instance (ci-après : TAPI). Il a conclu préalablement à ce que celle-ci se déclare incompétente ou suspende la procédure jusqu’à droit jugé par le Tribunal administratif. Les conclusions principales étaient identiques à celles prises dans son recours auprès de celui-ci.</w:t>
      </w:r>
    </w:p>
    <w:p>
      <w:r>
        <w:rPr>
          <w:b/>
        </w:rPr>
        <w:t>E. 11</w:t>
      </w:r>
    </w:p>
    <w:p>
      <w:r>
        <w:t>Le 11 juillet 2008 toujours, M. Piletta-Zanin a recouru, par acte séparé, auprès du Tribunal administratif contre la décision d’interdiction d’ouverture de chantier, respectivement l’arrêt du chantier, du 24 juin 2008, en concluant à son annulation (cause A/2568/2008).</w:t>
      </w:r>
    </w:p>
    <w:p>
      <w:r>
        <w:t>- 4/11 - A/2568/2008</w:t>
      </w:r>
    </w:p>
    <w:p>
      <w:r>
        <w:t>Son projet remplissait toutes les conditions d’octroi d’une autorisation. Il était en droit d’entreprendre les travaux, aucune décision n’ayant été prise par le département dans les dix jours ayant suivi l’avis formel qu’il avait envoyé le 22 mai 2008.</w:t>
      </w:r>
    </w:p>
    <w:p>
      <w:r>
        <w:rPr>
          <w:b/>
        </w:rPr>
        <w:t>E. 12</w:t>
      </w:r>
    </w:p>
    <w:p>
      <w:r>
        <w:t>Le 1er septembre 2008, le DCTI a répondu à ce recours en concluant principalement à son irrecevabilité, au motif principal que la commission était l’autorité compétente pour statuer. Le recours devait également être déclaré irrecevable en raison de sa prolixité (A/2568/2008).</w:t>
      </w:r>
    </w:p>
    <w:p>
      <w:r>
        <w:rPr>
          <w:b/>
        </w:rPr>
        <w:t>E. 13</w:t>
      </w:r>
    </w:p>
    <w:p>
      <w:r>
        <w:t>Par arrêt du 9 septembre 2008 (ATA/463/2008), le Tribunal administratif a transmis à la commission, pour raison de compétence, le recours interjeté par M. Piletta-Zanin contre la décision du 13 juin 2008 (refus d’autorisation).</w:t>
      </w:r>
    </w:p>
    <w:p>
      <w:r>
        <w:rPr>
          <w:b/>
        </w:rPr>
        <w:t>E. 14</w:t>
      </w:r>
    </w:p>
    <w:p>
      <w:r>
        <w:t>Le 19 septembre 2008, M. Piletta-Zanin a répliqué en concluant à la recevabilité de son recours dirigé contre l’ordre d’arrêt du chantier (A/2568/2008).</w:t>
      </w:r>
    </w:p>
    <w:p>
      <w:r>
        <w:rPr>
          <w:b/>
        </w:rPr>
        <w:t>E. 15</w:t>
      </w:r>
    </w:p>
    <w:p>
      <w:r>
        <w:t>Le 15 octobre 2008, le DCTI a dupliqué en persistant dans ses conclusions du 1er septembre 2008 (A/2568/2008).</w:t>
      </w:r>
    </w:p>
    <w:p>
      <w:r>
        <w:rPr>
          <w:b/>
        </w:rPr>
        <w:t>E. 16</w:t>
      </w:r>
    </w:p>
    <w:p>
      <w:r>
        <w:t>Le 10 février 2009, le juge délégué a prononcé la suspension de la cause A/2568/2008, jusqu’à droit jugé par la commission sur le recours interjeté contre le refus d’autorisation du 13 juin 2008.</w:t>
      </w:r>
    </w:p>
    <w:p>
      <w:r>
        <w:rPr>
          <w:b/>
        </w:rPr>
        <w:t>E. 17</w:t>
      </w:r>
    </w:p>
    <w:p>
      <w:r>
        <w:t>Statuant sur partie le 8 mai 2009, la commission a déclaré recevable le recours interjeté le 11 juillet 2008 par M. Piletta-Zanin contre le refus d’autorisation du 13 juin 2008. Elle a rejeté ses conclusions tendant préalablement au prononcé de la nullité de plein droit de refus et, alternativement, à son annulation. Elle gardait, pour le surplus, la cause à juger sur les autres conclusions.</w:t>
      </w:r>
    </w:p>
    <w:p>
      <w:r>
        <w:rPr>
          <w:b/>
        </w:rPr>
        <w:t>E. 18</w:t>
      </w:r>
    </w:p>
    <w:p>
      <w:r>
        <w:t>Par acte du 12 juin 2009, M. Piletta-Zanin a recouru auprès du Tribunal administratif contre ladite décision (A/2050/2009), en concluant à son annulation et à :</w:t>
      </w:r>
    </w:p>
    <w:p>
      <w:r>
        <w:t>- « dire et prononcer que le recourant était en droit de démarrer les travaux, en application de l’art. 4 al. 4 LCI, à l’échéance du délai de dix jours suivant la réception, intervenue le 23 mai 2008, par le département de son courrier du</w:t>
      </w:r>
    </w:p>
    <w:p>
      <w:r>
        <w:rPr>
          <w:b/>
        </w:rPr>
        <w:t>E. 22</w:t>
      </w:r>
    </w:p>
    <w:p>
      <w:r>
        <w:t>Par acte du 23 mai 2011, M. Piletta-Zanin a recouru contre cette décision auprès de la chambre administrative de la Cour de justice (ci-après : la chambre administrative) (A/4490/2008). Il conclut principalement à ce que sa nullité soit constatée et à ce que le DCTI soit invité à délivrer l’autorisation de construire demandée. De l’argumentation confuse du recourant peuvent être extraits les griefs suivants :</w:t>
      </w:r>
    </w:p>
    <w:p>
      <w:r>
        <w:t>La décision du 13 juin 2008 était nulle en vertu de l’art. 4 al. 4 LCI.</w:t>
      </w:r>
    </w:p>
    <w:p>
      <w:r>
        <w:t>L’IUS de 0,32 était inférieur à toutes les dérogations récemment admises dans le périmètre du plan de site de la commune, qui avait autorisé des dépassements de coefficient de 0,33 à 1,4.</w:t>
      </w:r>
    </w:p>
    <w:p>
      <w:r>
        <w:t>Le TAPI n’avait examiné sa situation qu’en comparaison avec le projet de construction de trois villas, dénommé « En deçà du nant ». Il n’avait pas effectué de comparaison avec le projet DD 101’283 (Roethlisberger).</w:t>
      </w:r>
    </w:p>
    <w:p>
      <w:r>
        <w:t>- La CMNS avait désapprouvé l’expression architecturale de son projet, alors même qu’elle avait autorisé récemment la construction d’une villa moderne, beaucoup moins respectueuse que son projet des normes villageoises imposées par le règlement du plan de site (villa Dugerdil), ainsi que l’édification d’autres villas modernes (projets Geisel et Niddam).</w:t>
      </w:r>
    </w:p>
    <w:p>
      <w:r>
        <w:rPr>
          <w:b/>
        </w:rPr>
        <w:t>E. 23</w:t>
      </w:r>
    </w:p>
    <w:p>
      <w:r>
        <w:t>Le 8 juillet 2011, le DCTI a répondu à ce recours en concluant à son rejet (cause A/4490/2008).</w:t>
      </w:r>
    </w:p>
    <w:p>
      <w:r>
        <w:t>Le recourant comparait sa situation aux projets suivants. Il visait la procédure DD 100’050 (projet « En deçà du nant »), dans laquelle l’autorisation avait été refusée par le département. Il se référait également au projet Roethlisberger, dans lequel le département avait basé son calcul du rapport des</w:t>
      </w:r>
    </w:p>
    <w:p>
      <w:r>
        <w:t>- 7/11 - A/2568/2008 surfaces sur un groupe de parcelles et non sur une seule d’entre elles. Cette autorisation avait été finalement annulée par les instances judiciaires (ATA/703/2008 du 12 octobre 2010). S’agissant de l’expression architecturale, les maisons Dugerdil, Geisel et Niddam citées par le recourant ne pouvaient être comparées à son projet. En effet, ces constructions se trouvant en retrait par rapport à la route, leur impact visuel était moins important.</w:t>
      </w:r>
    </w:p>
    <w:p>
      <w:r>
        <w:rPr>
          <w:b/>
        </w:rPr>
        <w:t>E. 24</w:t>
      </w:r>
    </w:p>
    <w:p>
      <w:r>
        <w:t>Le même jour, Madame Sandra et Monsieur Mark Bloomfield, voisins appelés en cause, ont conclu au rejet du recours ainsi qu’à l’octroi d’une indemnité de procédure. Ils y développaient les mêmes griefs que le département et relevaient l’illégalité du projet sous d’autres aspects (nombre de niveaux, volume, toiture, intégration dans le tissu bâti, etc.).</w:t>
      </w:r>
    </w:p>
    <w:p>
      <w:r>
        <w:rPr>
          <w:b/>
        </w:rPr>
        <w:t>E. 25</w:t>
      </w:r>
    </w:p>
    <w:p>
      <w:r>
        <w:t>Le 10 août 2011, les parties ont été informée que la cause était gardée à juger.</w:t>
      </w:r>
    </w:p>
    <w:p>
      <w:r>
        <w:rPr>
          <w:b/>
        </w:rPr>
        <w:t>E. 26</w:t>
      </w:r>
    </w:p>
    <w:p>
      <w:r>
        <w:t>Le 22 novembre 2011, le juge délégué a prononcé la reprise de la procédure A/2568/2008 ainsi que sa jonction avec la cause A/4490/2008, le TAPI ayant statué le 11 mars 2011 dans cette dernière procédure. EN DROIT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 2.</w:t>
      </w:r>
    </w:p>
    <w:p>
      <w:r>
        <w:t>Recours contre l’ordre d’arrêt du chantier du 24 juin 2008 (A/2568/2008) :</w:t>
      </w:r>
    </w:p>
    <w:p>
      <w:r>
        <w:t>Selon l’art. 129 let. a LCI, le département peut ordonner la suspension des travaux soumis à autorisation, notamment lorsqu’aucune autorisation n’a été délivrée.</w:t>
      </w:r>
    </w:p>
    <w:p>
      <w:r>
        <w:t>En l’espèce, la requête d’autorisation a été refusée. La question de savoir si le recourant était en droit de procéder aux travaux après sa lettre au département du 22 mai 2008 en application de l’art. 4 al. 4 LCI a été tranchée négativement et définitivement par le Tribunal administratif le 23 mars 2010 (ATA/207/2010).</w:t>
      </w:r>
    </w:p>
    <w:p>
      <w:r>
        <w:t>La décision du 24 juin 2008 interdisant au recourant d’ouvrir le chantier, respectivement de l’arrêter, est ainsi conforme au droit.</w:t>
      </w:r>
    </w:p>
    <w:p>
      <w:r>
        <w:t>- 8/11 - A/2568/2008 3.</w:t>
      </w:r>
    </w:p>
    <w:p>
      <w:r>
        <w:t>Recours contre le refus d’autorisation du 13 juin 2008 (A/4490/2008):</w:t>
      </w:r>
    </w:p>
    <w:p>
      <w:r>
        <w:t>Le recourant conteste le refus du département de lui octroyer une dérogation à l’IUS maximum prévu par le plan de site.</w:t>
      </w:r>
    </w:p>
    <w:p>
      <w:r>
        <w:t>Selon l’art. 14 du règlement y afférent, l’IUS maximum de chaque parcelle, ou groupe de parcelles, située à l’intérieur des zones de construction du village ne peut dépasser 0,25. Si les circonstances le justifient et que cette mesure ne porte pas atteinte au but général visé (soit le maintien du caractère architectural du village et son développement harmonieux ; art. 1 du règlement), le département peut déroger après consultation de la commune et de la CMNS aux dispositions dudit règlement (art. 15).</w:t>
      </w:r>
    </w:p>
    <w:p>
      <w:r>
        <w:t>Cet article réserve l’application de l’art. 106 al. 1 LCI, qui dispose que dans les villages protégés, tel celui de Dardagny,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 Lors de travaux de réfection de façades ou de toitures, la commune et la CMNS sont également consultées. 4.</w:t>
      </w:r>
    </w:p>
    <w:p>
      <w:r>
        <w:t>Dans l’exercice de cette compétence, le département dispose d’une grande liberté d’appréciation, que le juge ne peut revoir qu’en cas d’excès ou d’abus (art. 61 al. 2 LPA). Un tel excès est réalisé si l’autorité administrative sort du cadre des mesures autorisées par la loi. Il y a abus lorsque l’autorité reste dans le cadre de ces mesures possibles, mais viole un principe constitutionnel, tels que ceux de l’égalité de traitement, de la proportionnalité ou de l’arbitraire (T. TANQUEREL, Manuel de droit administratif, 2011. p. 170, n° 512).</w:t>
      </w:r>
    </w:p>
    <w:p>
      <w:r>
        <w:t>En outre, chaque fois que l’autorité inférieure suit les préavis requis, l’autorité de recours doit s’imposer une certaine retenue, qui est fonction de son aptitude à trancher le litige (T. TANQUEREL, op. cit., p. 168, n° 508, et la jurisprudence citée). Ainsi, la commission de recours qui a désormais le même pouvoir de cognition que la chambre administrative mais qui, contrairement à cette juridiction, est composée pour une part de spécialistes, peut donc exercer un contrôle plus technique que celui-ci lorsque le sujet considéré exige une spécialisation d’une technicité plus grande (ATA Association pour la sauvegarde du site de la chapelle du 17 octobre 1990 ; F. du 21 mai 1990). 5.</w:t>
      </w:r>
    </w:p>
    <w:p>
      <w:r>
        <w:t>En l’espèce, le département a suivi le préavis de la CMNS du 13 mai 2008. Celle-ci n’était pas opposée à entrer en matière sur une dérogation à l’IUS, si le projet était modifié relativement à son expression architecturale et à la construction du sous-sol. Cette modification n’a pu être demandée par le</w:t>
      </w:r>
    </w:p>
    <w:p>
      <w:r>
        <w:t>- 9/11 - A/2568/2008 département, le recourant ayant mis ce dernier en demeure de statuer le 3 juin 2008.</w:t>
      </w:r>
    </w:p>
    <w:p>
      <w:r>
        <w:t>A ce stade de la procédure, le département était ainsi en droit de refuser la délivrance de l’autorisation et de suivre les recommandations de la CMNS. Rien ne l’obligeait en effet à accorder la dérogation contrairement à ce préavis. Partant, sous réserve d’une inégalité de traitement ou d’une violation du principe de la bonne foi, le refus d’autorisation du 13 juin 2008 n’est pas arbitraire. 6.</w:t>
      </w:r>
    </w:p>
    <w:p>
      <w:r>
        <w:t>Le recourant se plaint d’une violation du principe de l’égalité de traitement.</w:t>
      </w:r>
    </w:p>
    <w:p>
      <w:r>
        <w:t>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Zurich-Bâle-Genève 2003, p. 260 ss).</w:t>
      </w:r>
    </w:p>
    <w:p>
      <w:r>
        <w:t>En l’espèce, il ressort des écritures du département que les dérogations sont accordées plus facilement lorsque les maisons sont plus excentrées du village et que leur impact visuel est moins important que le bâtiment projeté. Dans le projet « En deçà du nant », le département s’était opposé à l’IUS (bien que ce grief n’ait été soulevé que devant la chambre administrative ; ATA/109/2008 du 11 mars 2008). L’immeuble projeté - qui comportait trois logements et non un seul - ne portait pas atteinte au site dans la mesure où il était édifié sur le point le plus bas du village de Dardagny. Dans le projet Roethlisberger, auquel semble se référer le recourant, le DCTI avait calculé l’IUS sur un groupe de parcelles et l’autorisation a été annulée par la commission pour dépassement de l’IUS (confirmé par ATA/703/2010 du 12 octobre 2010). 7.</w:t>
      </w:r>
    </w:p>
    <w:p>
      <w:r>
        <w:t>L’impact visuel moindre des bâtiments Niddam, Geiser et Dugerdil ont rendu moins strictes les exigences de la CMNS, à cet égard.</w:t>
      </w:r>
    </w:p>
    <w:p>
      <w:r>
        <w:t>Ces justifications, au demeurant non contestées par le recourant, sont admissibles et n’apparaissent ni arbitraires, ni contraires au principe de l’égalité de traitement.</w:t>
      </w:r>
    </w:p>
    <w:p>
      <w:r>
        <w:t>- 10/11 - A/2568/2008 8.</w:t>
      </w:r>
    </w:p>
    <w:p>
      <w:r>
        <w:t>Au vu de ce qui précède, le refus de dérogation à l’IUS maximum de 0,25 prévu par le règlement du plan de site est conforme à la loi. 9.</w:t>
      </w:r>
    </w:p>
    <w:p>
      <w:r>
        <w:t>Le recours sera ainsi rejeté. 10.</w:t>
      </w:r>
    </w:p>
    <w:p>
      <w:r>
        <w:t>Un émolument de CHF 1’000.- sera mis à la charge du recourant. Une indemnité de procédure de CHF 1’000.-, à la charge de ce dernier, sera par ailleurs allouée à M. et Mme Bloomfield, qui ont recouru aux services d’un avocat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