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ATA/195/2023 vom 28. Februar 2023</w:t>
      </w:r>
    </w:p>
    <w:p>
      <w:r>
        <w:t>GE Cour de justice, 2023-02-28, FR</w:t>
      </w:r>
    </w:p>
    <w:p>
      <w:r>
        <w:rPr>
          <w:b/>
        </w:rPr>
        <w:t xml:space="preserve">Quelle: </w:t>
      </w:r>
      <w:r>
        <w:t>https://mcp.opencaselaw.ch/entscheid/ge_gerichte_ATA_195_2023</w:t>
      </w:r>
    </w:p>
    <w:p>
      <w:r>
        <w:t>FR: GE_GERICHTE ATA/195/2023 du 28 février 2023</w:t>
      </w:r>
    </w:p>
    <w:p>
      <w:r>
        <w:t>IT: GE_GERICHTE ATA/195/2023 del 28 febbraio 2023</w:t>
      </w:r>
    </w:p>
    <w:p>
      <w:pPr>
        <w:pStyle w:val="Heading2"/>
      </w:pPr>
      <w:r>
        <w:t>Erwägungen</w:t>
      </w:r>
    </w:p>
    <w:p>
      <w:r>
        <w:rPr>
          <w:b/>
        </w:rPr>
        <w:t>E. 12</w:t>
      </w:r>
    </w:p>
    <w:p>
      <w:r>
        <w:t>septembre 1985 - LPA - E 5 10). 2)</w:t>
      </w:r>
    </w:p>
    <w:p>
      <w:r>
        <w:t>Les recourants sollicitent la suspension de la procédure dans l’attente de la décision du département à la suite du dépôt, le 10 janvier 2023, d’une requête en régularisation pour un couvert pour boîte aux lettres et local poubelles, ouvert sous le numéro DD 11______.</w:t>
      </w:r>
    </w:p>
    <w:p>
      <w:r>
        <w:t>a. L'art. 14 al. 1 LPA prévoit que lorsque le sort d’une procédure administrative dépend de la solution d’une question de nature, notamment, pénale, relevant de la compétence d’une autre autorité et faisant l’objet d’une procédure pendant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(ATA/1493/2019 du 8 octobre 2019 consid. 3b et l'arrêt cité) ;</w:t>
      </w:r>
    </w:p>
    <w:p>
      <w:r>
        <w:t>b. En l’espèce, les recourants ont déposé le 10 janvier 2023 une demande visant à la régularisation du seul couvert abritant les poubelles et les boîtes aux lettres. La présente procédure concerne cependant également la construction d’un atelier en limite de propriété. S’il existe actuellement une procédure pendante devant le département, elle ne concerne donc que l’une des deux constructions objets du litige. Par ailleurs, l’art. 14 LPA est de nature potestative et aucun élément ne justifierait son application dans le cas présent. Il y a en particulier lieu de tenir compte que depuis plus de cinq ans, les propriétaires ont déposé des demandes en procédure accélérée pour la construction d’un atelier, respectivement la régularisation du local à poubelles et boîtes aux lettres, en décembre 2017, novembre 2018, octobre et novembre 2019, avant de déposer, le 8 mars 2021, la demande définitive ayant donné lieu à la décision querellée dans la présente procédure.</w:t>
      </w:r>
    </w:p>
    <w:p>
      <w:r>
        <w:t>Les principes de célérité et de sécurité du droit commandent que la cause soit jugée. S’agissant de l’intérêt actuel au recours, tel qu’exigé par l’art. 60 LPA, il sera relevé que selon l’acte déposé le 3 octobre 2022, les recourants n’ont a priori pas définitivement renoncé à la construction de l’atelier, vu l’usage des mots « en l’état », en lien avec l’abandon de cette construction. Ils ont d’ailleurs, le 27 janvier 2023, persisté dans leur conclusion. Dans ces circonstances, il ne sera pas accédé à leur demande de suspension de la procédure à laquelle d’ailleurs l’autorité intimée s’oppose. 3)</w:t>
      </w:r>
    </w:p>
    <w:p>
      <w:r>
        <w:t>Les recourants sollicitent un transport sur place et la comparution personnelle des parties.</w:t>
      </w:r>
    </w:p>
    <w:p>
      <w:r>
        <w:t>- 14/23 - A/584/2022</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w:t>
      </w:r>
    </w:p>
    <w:p>
      <w:r>
        <w:t>b. En l’espèce, à l’instar du TAPI, la chambre de céans considère que le dossier est complet et en état d’être jugé. La procédure contient d'ores et déjà le dossier du département, comportant notamment des plans et photos. Les outils numériques (loi relative au système d’information du territoire à Genève du 17 mars 2000 – LSITG - B 4 36) permettent de plus d'apprécier avec précision l'environnement, les caractéristiques architecturales du quartier, l'emplacement, les dimensions et le périmètre dans lequel les constructions litigieuses s'insèrent.</w:t>
      </w:r>
    </w:p>
    <w:p>
      <w:r>
        <w:t>Par appréciation anticipée de preuve, il apparaît que ni un transport sur place, ni une audition des parties ne se justifient, étant relevé, s’agissant de ce deuxième acte d’enquête sollicité, que les recourants ont eu la possibilité de déposer des écritures et pièces tant devant le TAPI que la chambre de céans.</w:t>
      </w:r>
    </w:p>
    <w:p>
      <w:r>
        <w:t>Il ne sera ainsi pas donné suite à la demande d’actes d’instruction des recourants. 4)</w:t>
      </w:r>
    </w:p>
    <w:p>
      <w:r>
        <w:t>L’objet du litige est la décision du département du 3 janvier 2022 refusant la régularisation du local poubelles et boîtes aux lettres et la construction d’un atelier d’artiste.</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t>- 15/23 - A/584/2022 5)</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Il n'en demeure pas moins que la délivrance des autorisations de construire demeure de la compétence exclusive du département, à qui il appartient de statuer en tenant compte de tous les intérêts en présence (ATA/259/2020 du 3 mars 2020 ; ATA/318/2017 du 21 mars 2017).</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6)</w:t>
      </w:r>
    </w:p>
    <w:p>
      <w:r>
        <w:t>Les recourants contestent que les deux constructions litigieuses doivent être appréhendées aux conditions de la zone agricole. Les règles régissant la zone de développement 5 superposée seraient applicables et permettraient la délivrance de l’autorisation sollicitée.</w:t>
      </w:r>
    </w:p>
    <w:p>
      <w:r>
        <w:t>a. Aucune construction ou installation ne peut être créée ou transformée sans autorisation de l'autorité compétente (art. 22 al. 1 LAT ; art. 1 al. 1 LCI).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w:t>
      </w:r>
    </w:p>
    <w:p>
      <w:r>
        <w:t>b. Selon l’art. 14 LAT, les plans d’affectation règlent le mode d’utilisation du sol. Ils définissent en premier lieu les zones à bâtir, les zones agricoles et les zones à protéger.</w:t>
      </w:r>
    </w:p>
    <w:p>
      <w:r>
        <w:t>c. À Genève, l’art. 12 LaLAT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w:t>
      </w:r>
    </w:p>
    <w:p>
      <w:r>
        <w:t>L’art. 19 al. 3 LaLAT définit, la 5e zone comme une zone résidentielle destinée aux villas ; des exploitations agricoles peuvent également y trouver place. Le propriétaire, l’ayant droit ou le locataire d’une villa peut, à condition que</w:t>
      </w:r>
    </w:p>
    <w:p>
      <w:r>
        <w:t>- 16/23 - A/584/2022 celle-ci constitue sa résidence principale, utiliser une partie de cette villa aux fins d’y exercer des activités professionnelles, pour autant qu’elles n’entraînent pas de nuisances graves pour le voisinage.</w:t>
      </w:r>
    </w:p>
    <w:p>
      <w:r>
        <w:t>Selon l’art. 12 al. 4 LaLAT, dont la note marginale est « zones de développement », le Grand Conseil peut, en vue de favoriser l’urbanisation, la restructuration de certains territoires, l’extension des villages ou de zones existantes, la création de zones d’activités publiques ou privées,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A l’intérieur de ces périmètres, le Conseil d’Etat peut, en vue de la délivrance d’une autorisation de construire, autoriser le département à faire application des normes résultant de la zone de développement, en lieu et place de celles de la zone à laquelle elle se substitue.</w:t>
      </w:r>
    </w:p>
    <w:p>
      <w:r>
        <w:t>Les zones de développement sont régies, selon leur affectation, par la LGZD et par la loi générale sur les zones de développement industriel ou d’activités mixtes du 13 décembre 1984 (LZIAM - L 1 45 ; art. 30 LaLAT).</w:t>
      </w:r>
    </w:p>
    <w:p>
      <w:r>
        <w:t>d. À teneur de l'art. 2 al. 1 LGZD, la délivrance d’autorisations de construire selon les normes d’une zone de développement est subordonnée, sous réserve des demandes portant sur des objets de peu d’importance ou provisoires, à l’approbation préalable par le Conseil d’Etat : a) d’un PLQ au sens de l’art. 3, assorti d’un règlement ; b) des conditions particulières applicables au projet, conformément aux articles 3A, 4 et 5, sauf pour des demandes portant sur des objets à édifier dans les périmètres de développement de la 5e zone résidentielle. L’art. 59 al. 4 et 5 LCI est toutefois réservé.</w:t>
      </w:r>
    </w:p>
    <w:p>
      <w:r>
        <w:t>En dérogation à l’art. 2 al. 1 let. a LGZD, le Conseil d'État peut, après consultation du Conseil administratif ou du maire de la commune, renoncer à l'établissement d'un PLQ notamment dans les périmètres de développement de la 5ème zone résidentielle (art. 2 al. 2 let. a LGZD).</w:t>
      </w:r>
    </w:p>
    <w:p>
      <w:r>
        <w:t>e. Dans une affaire qui concernait l'assujettissement à la loi fédérale sur le droit foncier rural du 4 octobre 1991 (LDFR - RS 211.412.11) d'un immeuble sis en zone de développement avec zone primaire agricole, cas réglé spécifiquement par une disposition légale, soit l'art. 10A du règlement d’exécution de la loi d’application de la LDFR du 26 janvier 1994 (RaLDFR - M 1 10.01), la chambre administrative a précisé qu'il ressortait tant de la LaLAT que de la LGZD que la délimitation d’une zone de développement par le Grand Conseil ne suffisait pas à elle seule pour l’application des normes de ladite zone. Ces dernières n'étaient applicables qu’après autorisation du Conseil d’État ou renonciation de ce dernier à l’établissement d’un PLQ. Les normes de la zone primaire, en l'espèce agricole, restaient donc applicables à la zone de développement constructible aussi</w:t>
      </w:r>
    </w:p>
    <w:p>
      <w:r>
        <w:t>- 17/23 - A/584/2022 longtemps que le Conseil d’État n’avait pas autorisé leur application en approuvant un PLQ, assorti d’un règlement, et les conditions particulières applicables au projet ou renoncé à l’établissement d’un PLQ. Préalablement à cette autorisation du Conseil d'État ou renonciation, l'immeuble demeurait hors zone à bâtir et dans le champ d’application de la LDFR (ATA/857/2014 du 4 novembre 2014). 7)</w:t>
      </w:r>
    </w:p>
    <w:p>
      <w:r>
        <w:t>En l’espèce, la loi 2420 du 6 avril 1962 modifiant les limites de zone de construction sur le territoire de la commune de C______ a fixé le régime d’affectation de la parcelle en cause à la zone de développement 5, sur fond de zone agricole. Il n’existe à ce jour aucun PLQ ni arrêté du Conseil d’État autorisant l’application des normes de la zone de développement 5 au projet litigieux. Ainsi, conformément à la jurisprudence rappelée ci-dessus, dès lors que la zone de fonds est la zone agricole, l’octroi d’une dérogation à l’obligation de PLQ, au sens de l’art. 2 al. 2 LGZD n’est pas possible. C’est donc à juste titre que le département a appliqué aux constructions litigieuses les normes de la zone de fond agricole. Les recourants ne remettent au demeurant pas en cause le fait que la transformation de l'ancienne gendarmerie en un bâtiment comportant des logements a été autorisée en 2015 selon les règles régissant la zone agricole, par dérogation. Ils sont ainsi malvenus, quelques années plus tard, alors que la situation légale ne s’est pas modifiée, de soutenir qu’ils devraient bénéficier de la zone de développement 5 pour leur parcelle. À cet égard, c’est à juste titre que le département considère ladite parcelle et les constructions y érigées, dont le couvert à poubelles et boîtes aux lettres ainsi que l’atelier, comme un tout, de sorte que la situation de ces deux constructions doit être analysée à l’aune de la globalité de la parcelle. 8) a.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w:t>
      </w:r>
    </w:p>
    <w:p>
      <w:r>
        <w:t>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 si tel n'est pas le cas, elle doit en outre vérifier que la nouvelle</w:t>
      </w:r>
    </w:p>
    <w:p>
      <w:r>
        <w:t>- 18/23 - A/584/2022 construction n'est pas surdimensionnée par rapport à l'utilisation envisagée et les besoins de l'exploitation et qu'aucun intérêt prépondérant ne s'oppose à l'implantation du nouveau bâtiment à l'endroit prévu (art. 34 al. 4 OAT ; ATF 129 II 413 consid. 3.2, arrêt du Tribunal fédéral 1C_631/2019 consid. 2.4.5).</w:t>
      </w:r>
    </w:p>
    <w:p>
      <w:r>
        <w:t>b. 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w:t>
      </w:r>
    </w:p>
    <w:p>
      <w:r>
        <w:t>Aux termes de l'art. 20 LaLAT,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w:t>
      </w:r>
    </w:p>
    <w:p>
      <w:r>
        <w:t>En l’espèce, il est constant que les deux constructions litigieuses n’ont aucune vocation agricole.</w:t>
      </w:r>
    </w:p>
    <w:p>
      <w:r>
        <w:t>c. Selon l’art. 24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conditions cumulatives sont reprises par l’art. 27 LaLAT.</w:t>
      </w:r>
    </w:p>
    <w:p>
      <w:r>
        <w:t>d.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L’al. 3 de l’art. 24c LAT concerne les bâtiments agricoles et n’est donc pas pertinent dans la présente affaire, la nature du local à boîtes aux lettres et poubelles ainsi que de l’atelier litigieux n’étant, comme déjà dit, pas agricole, ce qu’aucune des parties ne conteste.</w:t>
      </w:r>
    </w:p>
    <w:p>
      <w:r>
        <w:t>Le champ d'application de l'art. 24c LAT est restreint aux constructions et installations qui ont été érigées ou transformées conformément au droit matériel</w:t>
      </w:r>
    </w:p>
    <w:p>
      <w:r>
        <w:t>- 19/23 - A/584/2022 en vigueur à l'époque, mais qui sont devenues contraires à l'affectation de la zone à la suite d'une modification de la législation ou des plans d'aménagement.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 2.1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w:t>
      </w:r>
    </w:p>
    <w:p>
      <w:r>
        <w:t>Selon la jurisprudence du Tribunal fédéral, la protection de la situation acquise instituée par les art. 24c et 24d LAT ne s'étend pas aux bâtiments en ruine, inutilisables et prêts à s'écrouler ;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(arrêts du Tribunal fédéral 1C_617/2019 du 27 mai 2020 consid. 5. 1 ; 1C_589/2017 du 16 novembre 2018 consid. 2.1, 1C_207/2015 du 9 septembre 2015 consid. 4.2 et 1C_215/2012 du 30 octobre 2012 consid. 2.1 et les références citées). La condition de l’art. 24c al. 1 LAT exigeant l’utilisation du bâtiment « conformément à [sa] destination » n'est pas remplie lorsque celui-ci cumule les éléments suivants : délabrement très avancé démontré par des photographies ; mauvais état technique du bâtiment, attesté par des rapports ; des planchers en partie percés ; des structures porteuses intérieures en grande partie détruites ; des murs extérieurs considérablement dégradés ; l’inexistence d’installations sanitaires, de chauffage et d’installation de cuisine (arrêt du Tribunal fédéral 1A.76/1993 du 24 janvier 1994 consid. 4b, cité par la directive ARE 2007, point 2.3, p. 7).</w:t>
      </w:r>
    </w:p>
    <w:p>
      <w:r>
        <w:t>En outre, le but de l’art. 24c LAT est d’atténuer les effets des restrictions des possibilités de transformer et d’agrandir des bâtiments situés sur des bien- fonds qui ont été classés en zone non constructible. On ne saurait donc autoriser en vertu de cette disposition des transformations ou des agrandissements excédant les possibilités qui existaient avant la modification déterminante du droit (directive ARE 2007, point 3.4, p. 10). Par ailleurs, concernant l’autorisation au sens de l’art. 24a LAT (permettant, à certaines conditions, le changement d’affectation hors de la zone à bâtir lorsque des travaux de transformation ne sont pas nécessaires), la directive ARE 2007 souligne que s’il semble, dès l’octroi d’une autorisation fondée sur l’art. 24c LAT, que des travaux de transformation</w:t>
      </w:r>
    </w:p>
    <w:p>
      <w:r>
        <w:t>- 20/23 - A/584/2022 sont effectués en vue d’un changement d’affectation ultérieur, il convient de statuer une interdiction de changement d’affectation, une durée de dix ans semblant raisonnable (point 5.3.2, p. 17).</w:t>
      </w:r>
    </w:p>
    <w:p>
      <w:r>
        <w:t>e. L’art. 42 OAT complète l’art. 24c LAT. Selon l’art. 42 al. 1 OAT, une transformation est considérée comme partielle et un agrandissement est considéré comme mesuré lorsque l’identité de la construction ou de l’installation et de ses abords est respectée pour l’essentiel. Sont admises les améliorations de nature esthétique. L’al. 2 de l’art. 42 OAT dispose que le moment déterminant pour l’appréciation du respect de l’identité est l’état de la construction ou de l’installation au moment de l’attribution du bien-fonds à un territoire non constructible.</w:t>
      </w:r>
    </w:p>
    <w:p>
      <w:r>
        <w:t>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w:t>
      </w:r>
    </w:p>
    <w:p>
      <w:r>
        <w:t>L’art. 42 al. 4 OAT prévoit que : «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w:t>
      </w:r>
    </w:p>
    <w:p>
      <w:r>
        <w:t>f. Selon la jurisprudence du Tribunal fédéral, pour que l'identité de la construction soit respectée au sens de l’art. 42 al. 3 OAT,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précité consid. 2.2). Il n'est pas exigé que l'ancien et le nouveau soient tout à fait semblables ;</w:t>
      </w:r>
    </w:p>
    <w:p>
      <w:r>
        <w:t>- 21/23 - A/584/2022 l'identité se réfère aux traits essentiels de la construction, c'est-à-dire dans toutes ses caractéristiques importantes du point de vue de l'aménagement du territoire (arrêts du Tribunal fédéral 1C_617/2019 du 27 mai 2020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w:t>
      </w:r>
    </w:p>
    <w:p>
      <w:r>
        <w:t>Selon la directive ARE 2007, la condition du respect de l’identité, posée à l’art. 42 al. 1 et 3 OAT, s’examine à la lumière de l’agrandissement de la surface utilisée, des modifications du volume construit, des changements d’affectation et des transformations à l’intérieur du volume construit, des modifications de l’aspect extérieur, des extensions des équipements, mais aussi des améliorations du confort et des frais de transformation engagés par rapport à la valeur du bâtiment (point 3.1, p. 8).</w:t>
      </w:r>
    </w:p>
    <w:p>
      <w:r>
        <w:t>g. Selon l’art. 82 LCI, les constructions édifiées dans la zone agricole au sens des articles 20 à 22 LaLAT, sont soumises à ces dispositions et à celles applicables à la 5e zone de la LCI (al. 1). 9)</w:t>
      </w:r>
    </w:p>
    <w:p>
      <w:r>
        <w:t>En l’espèce, aucune des deux constructions litigieuses ne fait pas partie de l’autorisation délivrée le 25 novembre 2015 qui concernait la seule transformation de l’ancienne gendarmerie en logements, la création d’un parking de 10 places et l’abattage d’arbres. Selon les plans versés à la procédure, le local à poubelles et boîtes aux lettres n’est pas appondu au bâtiment comportant les logements, de sorte que, contrairement à ce qui a été retenu par le TAPI et comme justement relevé par le département, il n’y a aucun lien matériel physique entre ces deux constructions. L’atelier prévu ne saurait remplacer le bâtiment n° 10______ « tombé en ruines » et ayant par le passé apparemment abrité une ancienne écurie de la gendarmerie, aux dires des recourants, étant rappelé que selon la jurisprudence du Tribunal fédéral, la protection de la situation acquise instituée par les art. 24c et 24d LAT ne s'étend pas aux bâtiments « en ruine, inutilisables et prêts à s'écrouler ».</w:t>
      </w:r>
    </w:p>
    <w:p>
      <w:r>
        <w:t>Les deux installations doivent donc être considérées comme des nouvelles constructions, indépendantes, non conformes à la zone agricole. Les recourants ne remettent pas en cause spécifiquement le calcul du département, tel que ressortant de la décision querellée, selon lequel l'agrandissement des SBPu correspond à environ 38,40 % de l'existant, tandis que l'agrandissement total (SBPu + SA) correspond à environ 37,2 % de l'existant. En outre, la limite maximale de 100 m2 est dépassée (119 m2, respectivement 151 m2).</w:t>
      </w:r>
    </w:p>
    <w:p>
      <w:r>
        <w:t>Dans ces circonstances, l’autorité intimée n’a ni violé la loi ni abusé de son large pouvoir d’appréciation en refusant d’autoriser les deux constructions litigieuses.</w:t>
      </w:r>
    </w:p>
    <w:p>
      <w:r>
        <w:t>- 22/23 - A/584/2022</w:t>
      </w:r>
    </w:p>
    <w:p>
      <w:r>
        <w:t>Entièrement mal fondé, le recours sera rejeté. 10) Vu l'issue du litige, un émolument de CHF 2'000.- sera mis à la charge solidaire des recourants, qui succombent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