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ATA/193/2025 vom 20. Februar 2025</w:t>
      </w:r>
    </w:p>
    <w:p>
      <w:r>
        <w:t>GE Cour de justice, 2025-02-20, FR</w:t>
      </w:r>
    </w:p>
    <w:p>
      <w:r>
        <w:rPr>
          <w:b/>
        </w:rPr>
        <w:t xml:space="preserve">Quelle: </w:t>
      </w:r>
      <w:r>
        <w:t>https://mcp.opencaselaw.ch/entscheid/ge_gerichte_ATA_193_2025</w:t>
      </w:r>
    </w:p>
    <w:p>
      <w:r>
        <w:t>FR: GE_GERICHTE ATA/193/2025 du 20 février 2025</w:t>
      </w:r>
    </w:p>
    <w:p>
      <w:r>
        <w:t>IT: GE_GERICHTE ATA/193/2025 del 20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12 février 2025 et statuant ce jour, elle respecte ce délai.</w:t>
      </w:r>
    </w:p>
    <w:p>
      <w:r>
        <w:rPr>
          <w:b/>
        </w:rPr>
        <w:t>E. 3</w:t>
      </w:r>
    </w:p>
    <w:p>
      <w:r>
        <w:t>Le recourant conclut à sa mise en liberté.</w:t>
      </w:r>
    </w:p>
    <w:p>
      <w:r>
        <w:rPr>
          <w:b/>
        </w:rPr>
        <w:t>E. 3.1</w:t>
      </w:r>
    </w:p>
    <w:p>
      <w:r>
        <w:t>La détention administrative porte une atteinte grave à la liberté personnelle et ne peut être ordonnée que dans le respect de l'art. 5 CEDH et de l'art. 31 de la Constitution fédérale de la Confédération suisse du 18 avril 1999 (Cst. - RS 101), ce qui suppose en premier lieu qu'elle repose sur une base légale et respecte le principe de la proportionnalité.</w:t>
      </w:r>
    </w:p>
    <w:p>
      <w:r>
        <w:rPr>
          <w:b/>
        </w:rPr>
        <w:t>E. 3.2</w:t>
      </w:r>
    </w:p>
    <w:p>
      <w:r>
        <w:t>L'art. 76 al. 1 let. b ch. 1 LEI, renvoyant à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quitte la région qui lui est assignée ou pénètre dans une zone qui lui est interdite en vertu de l'art. 74 LEI (art. 75 al. 1 let. b LEI), ou menace sérieusement d’autres personnes ou met gravement en danger leur vie ou leur intégrité corporelle et fait l’objet d’une poursuite pénale ou a été condamnée pour ce motif (art. 75 al. 1 let. g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w:t>
      </w:r>
    </w:p>
    <w:p>
      <w:r>
        <w:rPr>
          <w:b/>
        </w:rPr>
        <w:t>E. 3.3</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3.4</w:t>
      </w:r>
    </w:p>
    <w:p>
      <w:r>
        <w:t>La détention en vue du renvoi ou de l’expulsion visée à l’art. 76 LEI ne peut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t>- 8/11 - A/301/2025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3.5</w:t>
      </w:r>
    </w:p>
    <w:p>
      <w:r>
        <w:t>En l’espèce, le recourant a fait l’objet d’une décision de renvoi définitive et exécutoire, d’une décision d’interdiction de pénétrer dans une région déterminée, qu’il n’a pas respecté, et d’une interdiction d’entrée en Suisse. Il a été condamné pour trafic de stupéfiants, infraction qu’il n’a pas contestée. Il a, enfin, confirmé son opposition à son renvoi lors de son audition devant le TAPI et refusé de monter dans l’avion qui devait le ramener au Nigéria le 13 février dernier. Les conditions de la détention administrative énoncées aux art. 75 al. 1 let. b et g et 76 al. 1 let. b ch. 1, 3 et 4 LEI sont donc remplies, ce que le recourant ne conteste d’ailleurs pas. La durée de la détention de trois mois apparait en outre conforme au principe de la proportionnalité. Elle permet de procéder à l’organisation d’un nouveau vol, le cas échéant de niveau supérieur, à la suite du refus du recourant de monter à bord du vol réservé le 13 février dernier. Les autorités chargées de l’exécution du renvoi ont, du reste, agi avec célérité puisqu’elles ont rapidement organisé un vol de retour. Enfin, compte tenu de son refus de se soumettre à la décision de renvoi, aucune autre mesure moins coercitive ne serait à même d’assurer la mise en œuvre de cette décision.</w:t>
      </w:r>
    </w:p>
    <w:p>
      <w:r>
        <w:rPr>
          <w:b/>
        </w:rPr>
        <w:t>E. 4</w:t>
      </w:r>
    </w:p>
    <w:p>
      <w:r>
        <w:t>Il convient d’examiner si, comme le soutient le recourant, son renvoi est exigible.</w:t>
      </w:r>
    </w:p>
    <w:p>
      <w:r>
        <w:rPr>
          <w:b/>
        </w:rPr>
        <w:t>E. 4.1</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(ATA/264/2023 précité consid. 5.4).</w:t>
      </w:r>
    </w:p>
    <w:p>
      <w:r>
        <w:t>- 9/11 - A/301/2025</w:t>
      </w:r>
    </w:p>
    <w:p>
      <w:r>
        <w:rPr>
          <w:b/>
        </w:rPr>
        <w:t>E. 4.2</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4.1et les références citées).</w:t>
      </w:r>
    </w:p>
    <w:p>
      <w:r>
        <w:rPr>
          <w:b/>
        </w:rPr>
        <w:t>E. 4.3</w:t>
      </w:r>
    </w:p>
    <w:p>
      <w:r>
        <w:t>Le juge de la détention administrative doit en principe uniquement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(arrêts du Tribunal fédéral 2C_587/2019 du 25 juin 2019 consid. 3.1 ; 2C_105/2016 du 8 mars 2016 consid. 7 ; 2C_1177/2013 du 17 janvier 2014 consid. 2.2).</w:t>
      </w:r>
    </w:p>
    <w:p>
      <w:r>
        <w:rPr>
          <w:b/>
        </w:rPr>
        <w:t>E. 4.4</w:t>
      </w:r>
    </w:p>
    <w:p>
      <w:r>
        <w:t>En l’espèce, en faisant valoir que l'exécution du renvoi l’exposerait à des risques pour son intégrité physique et sa vie, le recourant ne s'en prend pas à la décision de mise en détention administrative, mais uniquement à son renvoi. Or, ce dernier ne fait pas l'objet de l’examen des juges de la détention administrative. Ces derniers ne peuvent revoir la décision de renvoi que si elle apparaît manifestement inadmissible, arbitraire ou nulle. Tel n’est toutefois pas le cas en l’espèce. Devant la chambre de céans, le recourant se réfère au site internet du département fédéral des affaires étrangères (ci-après : DFAE), déconseillant les voyages touristiques à destination du Nigéria et tout autre voyage ne présentant pas un caractère d’urgence. Les informations contenues sur ce site, ainsi que d'autres communications publiées sur le site internet des nations unies (UN) (https://news.un.org), mettent effectivement en évidence une péjoration des conditions de sécurité au Nigéria. Il résulte en particulier des informations aux voyageurs, publiées sur le site internet du DFAE, qu’il existe un risque élevé d’enlèvements à motifs politiques et criminels, ce risque existant aussi bien pour les personnes locales que pour les personnes étrangères, peu importe leur âge et leur niveau social. En règle générale, une rançon est exigée pour obtenir leur libération. Le taux de criminalité est très élevé et le risque d’attentats terroristes existe dans l’ensemble du pays. Des attentats à l'explosif ainsi que des affrontements armés entre les forces de sécurité et des groupes terroristes ou d’autres groupes armés se produisent. Des personnes sont régulièrement tuées ou blessées lors de tels affrontements, en particulier dans le nord du pays ainsi que dans le Middle Belt. Nonobstant ces troubles graves à l'ordre public, il n'apparaît pas que le Nigéria connaîtrait en l'état une situation de guerre, de guerre civile ou de violence</w:t>
      </w:r>
    </w:p>
    <w:p>
      <w:r>
        <w:t>- 10/11 - A/301/2025 généralisée au point qu'il faille admettre de manière générale que la vie ou l'intégrité corporelle de l'ensemble des personnes résidant dans le pays serait exposée à une mise en danger concrète au sens de l'art. 83 al. 4 LEI. Il paraît ainsi résulter des documents produits – dont les informations sont principalement destinées aux voyageurs – que les problèmes les plus graves concernent plus particulièrement certaines régions du territoire national, soit certains États du sud et du sud-est du pays, y compris la région du Delta du Niger, l’État d’Ogun (sud-ouest du pays), certains États de la moitié nord du pays, à Abuja (territoire de la capitale fédéral) et les États du Plateau, de Nasarawa et Kogi. Il sera à cet égard relevé que si le recourant indique, sans aucunement le démontrer, avoir fait l’objet de menaces, il n’explique pas qui en était l’auteur, dans quel contexte celles-ci auraient été proférées et quelle en était la teneur. Pour le reste, il se borne à invoquer de manière générale les risques auxquels il pourrait être soumis en cas de retour au Nigéria, sans donner aucune précision sur l'endroit où il pourrait être amené à résider après son retour et les conditions de vie qui pourraient être les siennes. Compte tenu de ces éléments, il n’est pas possible de retenir que la décision de renvoi prononcée par l’OCPM serait manifestement inadmissible, arbitraire ou nulle. On ne saurait, enfin, reprocher à l’intimé de n’avoir pas entrepris des démarches auprès de la représentation diplomatique au Nigéria afin d’évaluer la mise en danger concrète du recourant en cas de renvoi. C’est le lieu de rappeler qu’il lui appartenait uniquement de s’assurer qu’une décision de renvoi existait et que les démarches nécessaires avaient été entreprises en vue de son exécution. Or, comme on l’a vu, l’autorité s’est, sur ce point, conformée à son devoir de diligence et de célérité. Mal fondé, le recours sera rejeté. Le prononcé du présent arrêt rend sans objet la demande de mesures provisionnelles formée par le recourant.</w:t>
      </w:r>
    </w:p>
    <w:p>
      <w:r>
        <w:rPr>
          <w:b/>
        </w:rPr>
        <w:t>E. 5</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