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ATA/191/2022 vom 22. Februar 2022</w:t>
      </w:r>
    </w:p>
    <w:p>
      <w:r>
        <w:t>GE Cour de justice, 2022-02-22, FR</w:t>
      </w:r>
    </w:p>
    <w:p>
      <w:r>
        <w:rPr>
          <w:b/>
        </w:rPr>
        <w:t xml:space="preserve">Quelle: </w:t>
      </w:r>
      <w:r>
        <w:t>https://mcp.opencaselaw.ch/entscheid/ge_gerichte_ATA_191_2022</w:t>
      </w:r>
    </w:p>
    <w:p>
      <w:r>
        <w:t>FR: GE_GERICHTE ATA/191/2022 du 22 février 2022</w:t>
      </w:r>
    </w:p>
    <w:p>
      <w:r>
        <w:t>IT: GE_GERICHTE ATA/191/2022 del 22 febbraio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- 7/18 - A/4207/2020 2)</w:t>
      </w:r>
    </w:p>
    <w:p>
      <w:r>
        <w:t>À titre préalable, la recourante sollicite sa comparution personnelle et l’audition de quatre témoins – son employeur et trois collègues – qui pourraient établir sa présence continue en Suisse depuis 2009.</w:t>
      </w:r>
    </w:p>
    <w:p>
      <w:r>
        <w:t>a. Le droit d'être entendu, tel qu'il est garanti par l'art. 29 al. 2 de la Constitution fédérale de la Confédération suisse du 18 avril 1999 (Cst. - RS 101),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En outre, il n'implique pas le droit d'être entendu oralement, ni celui d'obtenir l'audition de témoins (ATF 140 I 285 consid. 6.3.1 ; arrêt du Tribunal fédéral 2D_51/2018 du 17 janvier 2019 consid. 4.1).</w:t>
      </w:r>
    </w:p>
    <w:p>
      <w:r>
        <w:t>b. En l’espèce, la recourante a eu l’occasion de s’exprimer par écrit et de produire toute pièce utile devant l’OCPM puis le TAPI et elle n’indique pas quels éléments supplémentaires son audition serait susceptible d’apporter.</w:t>
      </w:r>
    </w:p>
    <w:p>
      <w:r>
        <w:t>M. C______ a établi une attestation d’emploi le 8 octobre 2021. La recourante soutient que celle-ci serait erronée et l’explique par des difficultés administratives et des réticences de son employeur.</w:t>
      </w:r>
    </w:p>
    <w:p>
      <w:r>
        <w:t>M. E______ a établi une attestation le 24 septembre 2020 dans laquelle il affirme avoir rencontré la recourante pour la première fois au travail en 2010 dans l’entreprise C______ et continuer aujourd’hui à travailler avec elle. L’attestation ne mentionne pas que la recourante aurait travaillé de manière continue durant dix ans dans l’entreprise.</w:t>
      </w:r>
    </w:p>
    <w:p>
      <w:r>
        <w:t>M. F______ a établi une attestation le 23 septembre 2020 dans laquelle il affirme avoir rencontré pour la première fois la recourante au travail en avril 2010 dans l’entreprise C______ et avoir travaillé dix ans de suite avec elle, sans indiquer toutefois que l’activité s’étendait sur toute l’année.</w:t>
      </w:r>
    </w:p>
    <w:p>
      <w:r>
        <w:t>M. G______ a établi une attestation dépourvue de date, dans laquelle il affirme avoir connu la recourante en 2010 dans l’entreprise C______ et avoir travaillé avec elle jusqu’en 2017, année où il a quitté l’entreprise, ajoutant que la recourante travaille depuis lors également pour l’entreprise H______ le soir. L’auteur n’affirme toutefois pas que l’activité aurait été continue de 2010 à 2017.</w:t>
      </w:r>
    </w:p>
    <w:p>
      <w:r>
        <w:t>Cela étant, la recourante affirme dans son recours avoir travaillé chaque année six mois au minimum pour l’entreprise C______. Elle a cependant produit devant le TAPI pour l’année 2016 les bulletins de salaire du 15 mai au 30 septembre, soit une période de quatre mois et demi, et pour l’année 2017 les</w:t>
      </w:r>
    </w:p>
    <w:p>
      <w:r>
        <w:t>- 8/18 - A/4207/2020 bulletins de salaire du 27 avril au 15 juillet, soit une période de deux mois et dix- huit jours. Le relevé AVS qu’elle a également produit et qui a été établi le 15 mai 2019, indique une activité au service de cette même entreprise de mai à septembre en 2015, de mai à septembre en 2016 et d’avril à juillet en 2017. La recourante ne soutient pas avoir interpellé son employeur sur l’inexactitude ou le caractère incomplet de ces documents ni lui avoir demandé de les corriger ou de les compléter. Quoi qu’il en soit, que la durée de l’activité annuelle de la recourante au service de M. C______ ait été de deux mois et demie, quatre mois et demie, six ou sept mois, celle-ci admet elle-même qu’elle ne s’étendait pas sur toute l’année. Or, il sera vu plus loin que la recourante échoue ainsi à établir le caractère continu de son séjour ainsi d’ailleurs que son intégration économique.</w:t>
      </w:r>
    </w:p>
    <w:p>
      <w:r>
        <w:t>La chambre de céans dispose d'un dossier complet lui permettant de trancher le litige en toute connaissance de cause et il ne sera pas donné suite aux demandes d’actes d’instruction. 3)</w:t>
      </w:r>
    </w:p>
    <w:p>
      <w:r>
        <w:t>Le litige porte sur la conformité au droit de la décision de l’OCPM de refuser d’octroyer à la recourante une autorisation de séjour pour cas de rigueur et d’ordonner son renvoi de Suisse.</w:t>
      </w:r>
    </w:p>
    <w:p>
      <w:r>
        <w:t>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t>b. 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comme en l’espèce dès cette date sont régies par le nouveau droit.</w:t>
      </w:r>
    </w:p>
    <w:p>
      <w:r>
        <w:t>c. L'art. 30 al. 1 let. b LEI permet de déroger aux conditions d'admission en Suisse, telles que prévues aux art. 18 à 29 LEI, notamment aux fins de tenir compte des cas individuels d'une extrême gravité ou d'intérêts publics majeurs.</w:t>
      </w:r>
    </w:p>
    <w:p>
      <w:r>
        <w:t>d.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w:t>
      </w:r>
    </w:p>
    <w:p>
      <w:r>
        <w:t>- 9/18 - A/4207/2020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1er janvier 2021, ch. 5.6.10 [ci-après : directives SEM]).</w:t>
      </w:r>
    </w:p>
    <w:p>
      <w:r>
        <w:t>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w:t>
      </w:r>
    </w:p>
    <w:p>
      <w:r>
        <w:t>e.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f.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TAF C- 5414/2013 du 30 juin 2015 consid. 5.1.4).</w:t>
      </w:r>
    </w:p>
    <w:p>
      <w:r>
        <w:t>g.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w:t>
      </w:r>
    </w:p>
    <w:p>
      <w:r>
        <w:t>- 10/18 - A/4207/2020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w:t>
      </w:r>
    </w:p>
    <w:p>
      <w:r>
        <w:t>h.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TAF F-4125/2016 du 26 juillet 2017 consid. 5.4.1, ATA/1162/2020 du 17 novembre 2020 consid. 11c et les arrêts cités).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op. cit., ch. 5.6).</w:t>
      </w:r>
    </w:p>
    <w:p>
      <w:r>
        <w:t>i. L'opération «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w:t>
      </w:r>
    </w:p>
    <w:p>
      <w:r>
        <w:t>- 11/18 - A/4207/2020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L'opération «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Le séjour, en toute hypothèse, doit être continu (ATA/61/2022 du 25 janvier 2022 consid. 3h).</w:t>
      </w:r>
    </w:p>
    <w:p>
      <w:r>
        <w:t>L'opération « Papyrus » a pris fin le 31 décembre 2018. 4) a. En l’espèce, est litigieuse tout d’abord la question de la continuité du séjour de la recourante depuis 2010.</w:t>
      </w:r>
    </w:p>
    <w:p>
      <w:r>
        <w:t>La recourante admet elle-même n’avoir travaillé que six mois au moins par année pour l’entreprise C______.</w:t>
      </w:r>
    </w:p>
    <w:p>
      <w:r>
        <w:t>Les certificats de salaire et le relevé AVS qu’elle a produits n’indiquent en effet que quelques mois d’activité au service de l’entreprise C______ en 2015, 2016 et 2017. Le contrat de travail signé le 2 juin 2016 avec M. C______ indique certes un emploi de durée indéterminée dès le 1er juin 2016 mais n’est pas apte dans ces circonstances à établir une activité continue durant toute l’année. Il en va de même du contrat de travail de durée déterminée conclu le 16 mai 2017 et portant sur la période du 27 avril au 15 juillet 2017. L’emploi à temps partiel au service de l’entreprise H______ SA n’est quant à lui établi que depuis le 11 octobre 2019. L’attestation établie par les TPG le 23 mai 2019 indique que la recourante a acquis un abonnement du 4 mai au 3 juin soit un mois en 2014, puis</w:t>
      </w:r>
    </w:p>
    <w:p>
      <w:r>
        <w:t>- 12/18 - A/4207/2020 du 23 mai au 23 septembre soit quatre mois en 2014. Les personnes ayant établi des attestations écrites en 2020 ont toutes indiqué connaître la recourante depuis 2009, 2010, 2011 ou 2012, mais aucune n’a affirmé que la recourante aurait travaillé ou séjourné en Suisse de manière continue toute l’année.</w:t>
      </w:r>
    </w:p>
    <w:p>
      <w:r>
        <w:t>Ainsi, quelle que soit l’année du début de son activité au service de l’entreprise C______ et quelle que soit la période d’activité annuelle, celle-ci était saisonnière, soit liée comme en l’espèce aux saisons (de la culture des fraises), la recourante échoue à établir un séjour continu en Suisse de dix ans au moins.</w:t>
      </w:r>
    </w:p>
    <w:p>
      <w:r>
        <w:t>La recourante fait valoir qu’elle se tenait à disposition de son employeur le reste de l’année et n’avait aucune raison de retourner au B______, où elle n’avait ni mari ni enfants. Elle ne saurait cependant prétendre rendre de la sorte vraisemblable une présence constante en Suisse chaque année durant près de six mois et sans activité lucrative, étant observé qu’elle n’affirme pas que ses parents auraient quitté le B______ ni qu’elle n’y aurait aucun autre membre de sa parentèle et qu’elle a également pu voyager vers d’autres pays durant les années 2010 à 2019.</w:t>
      </w:r>
    </w:p>
    <w:p>
      <w:r>
        <w:t>b. L’absence de preuve d’une activité lucrative constante en Suisse durant dix ans conduit également à la conclusion que la recourante a échoué à établir une intégration socioprofessionnelle exceptionnelle. Quelques mois d’activité par année en qualité d’ouvrière agricole, complétés dès 2019 par une activité à temps partiel dans le nettoyage, ne sauraient en effet correspondre à une ascension professionnelle remarquable, pas plus qu’ils n’auraient procuré à la recourante des connaissances qu’elle ne pourrait mettre en valeur qu’en Suisse.</w:t>
      </w:r>
    </w:p>
    <w:p>
      <w:r>
        <w:t>Les liens professionnels et d’amitié noués en Suisse que la recourante documente avec des certificats et nombre de photographies sont usuels et ne suffisent pas à eux seuls à établir de manière déterminante une intégration exceptionnelle et un cas d’extrême gravité. 5)</w:t>
      </w:r>
    </w:p>
    <w:p>
      <w:r>
        <w:t>La recourante fait enfin valoir que ses liens avec sa fratrie en Suisse et notamment le fait qu’elle aurait toujours vécu chez sa sœur, lui permettraient d’invoquer le droit au respect de la vie familiale à l’appui de sa demande de permis.</w:t>
      </w:r>
    </w:p>
    <w:p>
      <w:r>
        <w:t>a.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w:t>
      </w:r>
    </w:p>
    <w:p>
      <w:r>
        <w:t>- 13/18 - A/4207/2020 mineurs (ATF 140 I 77 consid. 5.2 ; 137 I 113 consid. 6.1 ; 135 I 143 consid. 1.3.2).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pas déterminantes (ATF 137 II 1 consid. 4.3 ; 134 II 10 consid. 4.3).</w:t>
      </w:r>
    </w:p>
    <w:p>
      <w:r>
        <w:t>b. En l’espèce, la recourante est majeure, elle n’a pas d’enfants et ne fait pas valoir de relations avec des ascendants ou descendant qui disposeraient de titres de séjour en Suisse. Elle ne peut par ailleurs faire valoir un séjour licite de plus de dix ans au titre de la protection de la vie privée.</w:t>
      </w:r>
    </w:p>
    <w:p>
      <w:r>
        <w:t>L’arrêt de la Cour européenne des droits de l’homme (ci-après : ACEDH et CourEDH) Moustaquim c. Belgique du 18 février 1991 (req. n° 12313/86) qu’elle invoque a jugé disproportionnée sous l’angle de l’art. 8 ch. 2 CEDH l’expulsion d’un délinquant marocain condamné plusieurs fois durant son adolescence, qui séjournait en Belgique depuis l’âge de deux ans et depuis vingt ans de manière continue et légale avec ses parents et ses sept frères et sœurs et avait suivi toute sa scolarité en français (§§ 41-47). Quant à l’ACEDH El Boujaïdi c. France du 26 septembre 1997 (123/1996/742/941), il a également admis une vie familiale au sens de l’art. 8 § 1 CEDH dans le cas d’un requérant marocain arrivé en France, où résidaient ses parents et ses trois frères et sœurs, à l’âge de sept ans pour y habiter puis y travailler près de vingt ans, mais a conclu que son expulsion suite à des infractions graves constituait une ingérence admissible (§§ 33 et 42). La recourante ne saurait tirer aucun bénéfice de ces deux arrêts, qui portent sur des situations très différentes de la sienne.</w:t>
      </w:r>
    </w:p>
    <w:p>
      <w:r>
        <w:t>c. Pour le surplus, le fait que la recourante n’ait ni dettes, ni poursuites, n’ait pas de casier judiciaire et maîtrise la langue française au niveau A2 n’est pas contesté mais doit être regardé comme normal pour une personne désirant s’intégrer et ne suffit pas pour satisfaire aux conditions posées à l’octroi d’une autorisation de séjour pour cas de rigueur.</w:t>
      </w:r>
    </w:p>
    <w:p>
      <w:r>
        <w:t>- 14/18 - A/4207/2020</w:t>
      </w:r>
    </w:p>
    <w:p>
      <w:r>
        <w:t>La recourante, qui est encore jeune, célibataire et sans enfants, n’affirme pas être en mauvaise santé. Elle a vécu jusqu’à l’âge de 21 ans au B______, dont elle a acquis la langue et la culture. Sa réintégration dans son pays d’origine, si elle ne sera pas forcément facile, ne se heurtera toutefois pas à des obstacles insurmontables, étant observé que la recourante pourra y faire valoir l’expérience professionnelle acquise en Suisse.</w:t>
      </w:r>
    </w:p>
    <w:p>
      <w:r>
        <w:t>C’est ainsi sans excès ni abus de son pouvoir d’appréciation que l’OCPM a conclu que la recourante n’avait pas établi un séjour ininterrompu de longue durée en Suisse et ne prouvait pas une intégration exceptionnelle, de sorte qu’elle ne remplissait pas les conditions du cas individuel d’extrême gravité – étant observé que l’opération « Papyrus » avait pris fin lorsqu’elle a déposé sa demande. 6)</w:t>
      </w:r>
    </w:p>
    <w:p>
      <w:r>
        <w:t>La recourante soutient encore que l’exécution de son renvoi serait illicite, impossible ou ne pourrait raisonnablement être exigée.</w:t>
      </w:r>
    </w:p>
    <w:p>
      <w:r>
        <w:t>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t>b. En l'espèce, rien ne permet de retenir que l'exécution du renvoi de la recourante ne serait pas possible, licite ou raisonnement exigible au sens de la jurisprudence.</w:t>
      </w:r>
    </w:p>
    <w:p>
      <w:r>
        <w:t>- 15/18 - A/4207/2020</w:t>
      </w:r>
    </w:p>
    <w:p>
      <w:r>
        <w:t>En particulier, celle-ci n’établit pas, et il ne peut être retenu au vu du dossier, que sa situation serait si rigoureuse en cas de séparation de sa fratrie en Suisse qu'on ne saurait exiger son retour au B______.</w:t>
      </w:r>
    </w:p>
    <w:p>
      <w:r>
        <w:t>Dans ces circonstances, la décision querellée est conforme au droit.</w:t>
      </w:r>
    </w:p>
    <w:p>
      <w:r>
        <w:t>Mal fondé, le recours sera donc rejeté. 7)</w:t>
      </w:r>
    </w:p>
    <w:p>
      <w:r>
        <w:t>Vu l’issue du litige, un émolument de CHF 400.-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