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ATA/189/2019 vom 26. Februar 2019</w:t>
      </w:r>
    </w:p>
    <w:p>
      <w:r>
        <w:t>GE Cour de justice, 2019-02-26, FR</w:t>
      </w:r>
    </w:p>
    <w:p>
      <w:r>
        <w:rPr>
          <w:b/>
        </w:rPr>
        <w:t xml:space="preserve">Quelle: </w:t>
      </w:r>
      <w:r>
        <w:t>https://mcp.opencaselaw.ch/entscheid/ge_gerichte_ATA_189_2019</w:t>
      </w:r>
    </w:p>
    <w:p>
      <w:r>
        <w:t>FR: GE_GERICHTE ATA/189/2019 du 26 février 2019</w:t>
      </w:r>
    </w:p>
    <w:p>
      <w:r>
        <w:t>IT: GE_GERICHTE ATA/189/2019 del 26 febbraio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2010. Il s’ensuit que la présente cause est régie par les dispositions de la LIPP.</w:t>
      </w:r>
    </w:p>
    <w:p>
      <w:r>
        <w:t>- 6/11 - A/313/2017</w:t>
      </w:r>
    </w:p>
    <w:p>
      <w:r>
        <w:rPr>
          <w:b/>
        </w:rPr>
        <w:t>E. 3</w:t>
      </w:r>
    </w:p>
    <w:p>
      <w:r>
        <w:t>Les recourants contestent la valeur fiscale de la participation détenue par le contribuable dans la société B______, telle qu’arrêtée par l’AFC-GE et confirmée par le TAPI.</w:t>
      </w:r>
    </w:p>
    <w:p>
      <w:r>
        <w:rPr>
          <w:b/>
        </w:rPr>
        <w:t>E. 4</w:t>
      </w:r>
    </w:p>
    <w:p>
      <w:r>
        <w:t>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 LHID, dans quelle mesure le rendement doit être pris en considération dans l’estimation (ATF 134 II 207 consid. 3.6 ; arrêt du Tribunal fédéral 2C_826/2015 du</w:t>
      </w:r>
    </w:p>
    <w:p>
      <w:r>
        <w:rPr>
          <w:b/>
        </w:rPr>
        <w:t>E. 5</w:t>
      </w:r>
    </w:p>
    <w:p>
      <w:r>
        <w:t>a. Édictée par la CSI, qui regroupe les administrations fiscales cantonales et fédérale, la circulaire a fait l’objet de plusieurs éditions, dont la dernière date du 28 août 2008, laquelle est ainsi applicable aux périodes fiscales 2011 et 2012 faisant l’objet du présent litige. La CSI édite en outre annuellement un commentaire de la circulaire, la dernière version datant de 2017 (ci-après : le commentaire).</w:t>
      </w:r>
    </w:p>
    <w:p>
      <w:r>
        <w:t>b. Selon la jurisprudence rendue après l’entrée en vigueur de la LHID, 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w:t>
      </w:r>
    </w:p>
    <w:p>
      <w:r>
        <w:t>- 7/11 - A/313/2017</w:t>
      </w:r>
    </w:p>
    <w:p>
      <w:r>
        <w:t>Sur le fond, la jurisprudence précise que la circulaire prend en compte les éléments déterminants pour l’évaluation des titres non cotés et est appropriée pour l’estimation des sociétés en vue de l’imposition sur la fortune des actionnaires (arrêt du Tribunal fédéral 2C_583/2013 du 23 décembre 2013 consid. 3.1.3), sans pour autant exclure que d’autres méthodes d’évaluation reconnues puissent, isolément, s’avérer appropriées.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(ATA/1518/2017 du 21 novembre 2017 et les références citées).</w:t>
      </w:r>
    </w:p>
    <w:p>
      <w:r>
        <w:t>c. 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2017 p. 3 ad ch. 1).</w:t>
      </w:r>
    </w:p>
    <w:p>
      <w:r>
        <w:t>d. 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Les contrats de droit privé, comme les conventions d’actionnaires qui restreignent la transmissibilité des titres, restent sans influence sur l’estimation des titres (ch. 2.4 de la circulaire), tout comme les engagements que les parties prennent volontairement (commentaire 2017 p. 6 ad ch. 2).</w:t>
      </w:r>
    </w:p>
    <w:p>
      <w:r>
        <w:t>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w:t>
      </w:r>
    </w:p>
    <w:p>
      <w:r>
        <w:t>- 8/11 - A/313/2017 justifient pas de déroger à ce principe, dès lors que des oscillations conjoncturelles doivent être considérées comme inhérentes au système économique (commentaire 2017 p. 46 ad ch. 34). Font notamment exception à ce principe les sociétés nouvellement constituées qui, pour l’année de fondation et la période de lancement, sont généralement estimées d’après leur valeur substantielle. Pour les sociétés qui, juridiquement parlant, viennent d’être fondées, mais qui reprennent en fait l’activité d’une raison individuelle ou d’une société de personnes et n’ont que changé de forme juridique, les règles d’estimation prévues aux ch. 34 ss de la circulaire s’appliquent toutefois par analogie, les éventuelles réserves latentes sur les apports devant être prises en compte (ch. 32.2 de la circulaire).</w:t>
      </w:r>
    </w:p>
    <w:p>
      <w:r>
        <w:t>La valeur des sociétés holdings pures, de gérance de fortune et de financement, ainsi que des sociétés immobilières correspond, quant à elle, à leur valeur substantielle (ch. 38 et 42 de la circulaire). e.</w:t>
      </w:r>
    </w:p>
    <w:p>
      <w:r>
        <w:t>La valeur de rendement s’obtient par la capitalisation du bénéfice net des exercices déterminants augmenté ou diminué des reprises ou déductions mentionnées au ch. 9 (ch. 8.1 de la circulaire). Lorsqu’une entreprise ne peut être aliénée, ou difficilement l’être à la valeur de rendement du fait qu’elle dépend de la performance individuelle de l’actionnaire, l’autorité fiscale peut prendre en considération cette situation par une pondération simple de la valeur de rendement, c’est-à-dire non doublée, et de la valeur de substance. Dans ce cas, il ne peut être appliqué aucune déduction supplémentaire (commentaire 2017 p. 10 ad ch. 5).</w:t>
      </w:r>
    </w:p>
    <w:p>
      <w:r>
        <w:t>L’appréciation de la valeur substantielle se base sur les comptes annuels (ch. 11.1 de la circulaire). Les passifs doivent être subdivisés en fonds étrangers et en fonds propres. Les réserves de crise, de réévaluation et de remplacement, les provisions à des fins de remplacement, les réserves latentes imposées ainsi que les réserves comptabilisées sous le poste créanciers sont également considérées comme des fonds propres (ch. 14 de la circulaire). Les titres et participations non cotés sont estimés selon la circulaire, mais au minimum à leur valeur comptable (ch. 24.1 de la circulaire). En principe, il est tenu compte des impôts latents par une déduction de 15 % sur les réserves latentes non imposées prises en compte pour l’estimation, les impôts latents étant les impôts à payer lors de la dissolution des réserves latentes comprises dans le calcul de la valeur substantielle mais non encore imposées comme bénéfice (ch. 31.1 de la circulaire). Aucune déduction ne sera accordée pour les impôts latents sur des participations au bénéfice de la réduction pour participation (ch. 31.3 de la circulaire, qui renvoie à l’art. 28 al. 1 et 1bis LHID).</w:t>
      </w:r>
    </w:p>
    <w:p>
      <w:r>
        <w:rPr>
          <w:b/>
        </w:rPr>
        <w:t>E. 6</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w:t>
      </w:r>
    </w:p>
    <w:p>
      <w:r>
        <w:t>- 9/11 - A/313/2017 seulement de les alléguer, mais encore d’en apporter la preuve et de supporter les conséquences de l’échec de cette preuve, ces règles s’appliquant également à la procédure devant les autorités de recours (ATF 140 II 248 consid. 3.5 ; 133 II 153 consid. 4.3).</w:t>
      </w:r>
    </w:p>
    <w:p>
      <w:r>
        <w:t>En matière de titres non cotés en bourse, si leur estimation est effectuée sur la base de la circulaire, il convient alors de supposer que l’estimation aboutit à une valeur vénale correcte et que, par ce calcul, l’autorité fiscale a apporté une preuve suffisante. Si le contribuable est d’un avis contraire, il lui appartient dès lors d’apporter ses propres preuves (commentaire 2017 p. 3 ad ch. 1).</w:t>
      </w:r>
    </w:p>
    <w:p>
      <w:r>
        <w:rPr>
          <w:b/>
        </w:rPr>
        <w:t>E. 7</w:t>
      </w:r>
    </w:p>
    <w:p>
      <w:r>
        <w:t>En l’espèce, les recourants contestent la stricte application de la circulaire faite tant par l’intimée que par le TAPI, en demandant à ce que soit retenue la valeur substantielle de la société.</w:t>
      </w:r>
    </w:p>
    <w:p>
      <w:r>
        <w:t>Ils soutiennent qu’en 2010, l’activité de la société était restreinte à la seule gestion de sa fortune, son activité opérationnelle ayant à ce moment pratiquement cessé. La lecture des comptes 2008 à 2010 de la société permet de retenir que son chiffre d’affaires a connu une importante décroissance au cours de ces trois exercices, passant de CHF 8'492'640'623.- à CHF 360'435'909.-, le personnel passant de dix à deux personnes. Ces fluctuations sont toutefois insuffisantes pour renoncer à estimer la valeur de la société selon la méthode générale préconisée par la circulaire. La société a en effet continué à avoir une activité dans le domaine qui est le sien selon son but social, même au ralenti, de sorte qu’elle n’a finalement pas été liquidée mais a poursuivi son activité dans un autre canton, avec les mêmes actionnaires dirigeants, à rigueur d’inscription aux Registres du commerce genevois et schwytzois. L’allégation selon laquelle l’un des actionnaires a essayé de vendre sa participation dans la société en 2008 mais n’y serait pas parvenu n’est pas étayée, pas plus que ne l’est celle selon laquelle les performances de la société ne reposeraient que sur celles de ses seuls actionnaires, dès lors que le départ de l’un d’entre eux à fin 2008 et la prise de retraite anticipée du contribuable en mars 2010, n’ont pas empêché la poursuite de l’activité de la société dans la même configuration sociale, d’une part, et d’autre part, aucune pièce justificative n’est produite permettant de remettre en cause l’appréciation de l’AFC-GE, alors que les contribuables supportent le fardeau de la preuve.</w:t>
      </w:r>
    </w:p>
    <w:p>
      <w:r>
        <w:t>Au vu de ce qui précède, le recours sera rejeté.</w:t>
      </w:r>
    </w:p>
    <w:p>
      <w:r>
        <w:rPr>
          <w:b/>
        </w:rPr>
        <w:t>E. 8</w:t>
      </w:r>
    </w:p>
    <w:p>
      <w:r>
        <w:t>Vu l’issue du litige, un émolument de CHF 1’000.- sera mis à la charge solidaire des contribuables qui succombent (art. 87 al. 1 LPA) et aucune indemnité de procédure ne leur sera allouée (art. 87 al. 2 LPA).</w:t>
      </w:r>
    </w:p>
    <w:p>
      <w:r>
        <w:t>* * * * *</w:t>
      </w:r>
    </w:p>
    <w:p>
      <w:r>
        <w:t>- 10/11 - A/313/2017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