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ATA/187/2018 vom 27. Februar 2018</w:t>
      </w:r>
    </w:p>
    <w:p>
      <w:r>
        <w:t>GE Cour de justice, 2018-02-27, FR</w:t>
      </w:r>
    </w:p>
    <w:p>
      <w:r>
        <w:rPr>
          <w:b/>
        </w:rPr>
        <w:t xml:space="preserve">Quelle: </w:t>
      </w:r>
      <w:r>
        <w:t>https://mcp.opencaselaw.ch/entscheid/ge_gerichte_ATA_187_2018</w:t>
      </w:r>
    </w:p>
    <w:p>
      <w:r>
        <w:t>FR: GE_GERICHTE ATA/187/2018 du 27 février 2018</w:t>
      </w:r>
    </w:p>
    <w:p>
      <w:r>
        <w:t>IT: GE_GERICHTE ATA/187/2018 del 27 febbraio 2018</w:t>
      </w:r>
    </w:p>
    <w:p>
      <w:pPr>
        <w:pStyle w:val="Heading2"/>
      </w:pPr>
      <w:r>
        <w:t>Erwägungen</w:t>
      </w:r>
    </w:p>
    <w:p>
      <w:r>
        <w:rPr>
          <w:b/>
        </w:rPr>
        <w:t>E. 12</w:t>
      </w:r>
    </w:p>
    <w:p>
      <w:r>
        <w:t>septembre 1985 - LPA - E 5 10). 2)</w:t>
      </w:r>
    </w:p>
    <w:p>
      <w:r>
        <w:t>La recourante se plaint que l'OCIRT ne l'aurait pas entendue avant de rendre sa décision du 21 septembre 2016.</w:t>
      </w:r>
    </w:p>
    <w:p>
      <w:r>
        <w:t>- 6/11 - A/3606/2016</w:t>
      </w:r>
    </w:p>
    <w:p>
      <w:r>
        <w:t>a. Tel que garanti par les art. 29 al. 2 de la Constitution fédérale de la Confédération suisse du 18 avril 1999 (Cst. - RS 101), le droit d’être entendu comprend notamment le droit pour l’intéressé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w:t>
      </w:r>
    </w:p>
    <w:p>
      <w:r>
        <w:t>b. Une décision entreprise pour violation du droit d’être entendu n’est en principe pas nulle, mais annulable (ATF 133 III 235 consid. 5.3 ; arrêt du Tribunal fédéral 8C_104/2010 du 29 septembre 2010 consid. 3.2 ; ATA/993/2016 précité consid. 2b et les arrêts cités).</w:t>
      </w:r>
    </w:p>
    <w:p>
      <w:r>
        <w:t>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 137 I 195 consid. 2.3.2 ; arrêt du Tribunal fédéral 2P.30/2003 du 2 juin 2003 consid. 2.4 ; ATA/993/2016 précité consid. 2c et les références citées). 3)</w:t>
      </w:r>
    </w:p>
    <w:p>
      <w:r>
        <w:t>En l’espèce, s'agissant d'une décision prise sur la base d'une demande de l'administrée, ladite demande vaut le cas échéant explication de celle-ci, étant entendu que l'usage éventuel d'un formulaire ne l'empêche pas de produire séparément toutes observations et pièces utiles.</w:t>
      </w:r>
    </w:p>
    <w:p>
      <w:r>
        <w:t>De plus, tant la chambre de céans que le TAPI ont examiné l’ensemble des pièces du dossier, notamment celles produites par la recourante, qui a pu s'exprimer à plusieurs reprises lors des deux instances. Dans ces circonstances, l’éventuelle violation du droit d'être entendu de la recourante a quoi qu'il en soit été réparée dans le cadre de la procédure de recours.</w:t>
      </w:r>
    </w:p>
    <w:p>
      <w:r>
        <w:t>Ce grief sera dès lors écarté. 4)</w:t>
      </w:r>
    </w:p>
    <w:p>
      <w:r>
        <w:t>La recourante conteste le refus d'octroi d'une autorisation de séjour à l’année avec activité lucrative pour sa fondatrice et unique associée.</w:t>
      </w:r>
    </w:p>
    <w:p>
      <w:r>
        <w:t>a. Aux termes de l'art. 19 de la loi fédérale sur les étrangers du</w:t>
      </w:r>
    </w:p>
    <w:p>
      <w:r>
        <w:rPr>
          <w:b/>
        </w:rPr>
        <w:t>E. 16</w:t>
      </w:r>
    </w:p>
    <w:p>
      <w:r>
        <w:t>décembre 2005 (LEtr - RS 142.20),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LEtr sont remplies (let. c).</w:t>
      </w:r>
    </w:p>
    <w:p>
      <w:r>
        <w:t>- 7/11 - A/3606/2016</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[ci-après : TAF] C-5912/2011 du 26 août 2015 consid. 7.1 et les références citées).</w:t>
      </w:r>
    </w:p>
    <w:p>
      <w:r>
        <w:t>b. À l’instar de l’art. 18 LEtr, l’art. 19 LEtr est rédigé en la forme potestative de sorte que les autorités compétentes bénéficient d’un large pouvoir d’appréciation (arrêts du TAF C-5912/2011 précité consid. 7.2 ; C-6074/2010 du</w:t>
      </w:r>
    </w:p>
    <w:p>
      <w:r>
        <w:rPr>
          <w:b/>
        </w:rPr>
        <w:t>E. 19</w:t>
      </w:r>
    </w:p>
    <w:p>
      <w:r>
        <w:t>avril 2011 consid. 4.2) ; l'art. 19 LEtr ne confère par ailleurs aucun droit (arrêt du Tribunal fédéral 2C_56/2016 du 20 janvier 2016 consid. 3). 5)</w:t>
      </w:r>
    </w:p>
    <w:p>
      <w:r>
        <w:t>Selon les directives établies par le SEM – qui ne lient pas le juge mais dont celui-ci peut tenir compte pour assurer une application uniforme de la loi envers chaque administré et pourvu qu’elles respectent le sens et le but de la norme applicable (ATA/1018/2017 du 27 juin 2017 consid. 5b ; ATA/494/2017 du 2 mai 2017 consid. 3c)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(ATA/1076/2016 du 20 décembre 2016 consid. 5 ; ATA/940/2015 du 15 septembre 2015 consid. 7c ; Directives du SEM, état le 2 février 2018, notamment ch. 4.3.1, 4.7.2.1 et 4.7.2.2, en ligne sur le site https://www.sem.admin.ch/dam/data/sem/rechtsgrundlagen/weisungen/auslaender /weisungen-aug-kap4-f.pdf).</w:t>
      </w:r>
    </w:p>
    <w:p>
      <w:r>
        <w:t>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w:t>
      </w:r>
    </w:p>
    <w:p>
      <w:r>
        <w:t>- 8/11 - A/3606/2016 concernée, créé des places de travail pour la main-d’œuvre locale, procédé à des investissements substantiels et généré de nouveaux mandats pour l’économie helvétique (arrêt du TAF C-4160/2013 du 29 septembre 2014 consid. 5.3).</w:t>
      </w:r>
    </w:p>
    <w:p>
      <w:r>
        <w:t>Dans une première phase (création et édification de l’entreprise), les autorisations idoines sont délivrées pour deux ans (Directives du SEM, ch. 4.7.2.2). 6)</w:t>
      </w:r>
    </w:p>
    <w:p>
      <w:r>
        <w:t>En l’espèce, c’est à juste titre que le TAPI et l'OCPM ont considéré que les éléments que fait valoir la recourante sont insuffisants pour permettre de considérer que l'admission de Mme B______ servirait les intérêts économiques du pays au sens de la loi et de la jurisprudence.</w:t>
      </w:r>
    </w:p>
    <w:p>
      <w:r>
        <w:t>En effet, il est notoire que l'activité d'import-export de produits alimentaires entre la Suisse et l'Inde est déjà assurée par un certain nombre d'entreprises actives dans le canton. La spécialisation alléguée de la recourante dans les produits biologiques n'est pas assez large et stable pour être prise en compte en tant que telle. De manière générale, les montants en jeu sont faibles ; même l'importation de riz mise en avant par la recourante porte sur moins de CHF 20'000.-. Les activités d'exportation alléguées par la recourante dans son acte de recours par- devant la chambre de céans ne constituent quant à elles que des projets, dont la réalisation n'apparaît pas assurée. Quoi qu'il en soit, les montants en jeu ne permettent pas de parler d'investissements substantiels.</w:t>
      </w:r>
    </w:p>
    <w:p>
      <w:r>
        <w:t>Le bénéfice global de l'entreprise n'est pas connu, la recourante n'ayant pas produit de comptes complets, mais il apparaît à la lecture du dossier qu'il permettrait seulement, dans le meilleur des cas, d'assurer le salaire de Mme B______. Quant à l'embauche d'un coursier, il s'agit d'un contrat précaire et peu rémunéré, si bien que l'on ne saurait parler de retombées durables positives pour le marché suisse du travail. Enfin, les mandats portant sur des prestations de transport ou de comptabilité portent eux aussi sur des montants très faibles.</w:t>
      </w:r>
    </w:p>
    <w:p>
      <w:r>
        <w:t>Le grief de violation de l'art. 19 LEtr sera dès lors écarté. 7)</w:t>
      </w:r>
    </w:p>
    <w:p>
      <w:r>
        <w:t>La recourante invoque enfin matériellement – le grief en question est développé au sein de la question de la conformité à l'art. 19 LEtr – une violation du droit au respect de la vie familiale, ancré aux art. 13 Cst. et 8 de la Convention de sauvegarde des droits de l’homme et des libertés fondamentales du 4 novembre 1950 (CEDH - RS 0.101).</w:t>
      </w:r>
    </w:p>
    <w:p>
      <w:r>
        <w:t>Elle perd néanmoins de vue qu'en tant que personne morale, elle n'est pas titulaire du droit fondamental en question, et qu'elle ne dispose donc pas d'un intérêt personnel à recourir sur ce point. Le grief, pour autant qu'il soit réellement soulevé, est dès lors irrecevable. 8)</w:t>
      </w:r>
    </w:p>
    <w:p>
      <w:r>
        <w:t>Mal fondé, le recours sera rejeté.</w:t>
      </w:r>
    </w:p>
    <w:p>
      <w:r>
        <w:t>- 9/11 - A/3606/2016 9)</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