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ATA/186/2017 vom 15. Februar 2017</w:t>
      </w:r>
    </w:p>
    <w:p>
      <w:r>
        <w:t>GE Cour de justice, 2017-02-15, FR</w:t>
      </w:r>
    </w:p>
    <w:p>
      <w:r>
        <w:rPr>
          <w:b/>
        </w:rPr>
        <w:t xml:space="preserve">Quelle: </w:t>
      </w:r>
      <w:r>
        <w:t>https://mcp.opencaselaw.ch/entscheid/ge_gerichte_ATA_186_2017</w:t>
      </w:r>
    </w:p>
    <w:p>
      <w:r>
        <w:t>FR: GE_GERICHTE ATA/186/2017 du 15 février 2017</w:t>
      </w:r>
    </w:p>
    <w:p>
      <w:r>
        <w:t>IT: GE_GERICHTE ATA/186/2017 del 15 febbraio 2017</w:t>
      </w:r>
    </w:p>
    <w:p>
      <w:pPr>
        <w:pStyle w:val="Heading2"/>
      </w:pPr>
      <w:r>
        <w:t>Erwägungen</w:t>
      </w:r>
    </w:p>
    <w:p>
      <w:r>
        <w:rPr>
          <w:b/>
        </w:rPr>
        <w:t>E. 1</w:t>
      </w:r>
    </w:p>
    <w:p>
      <w:r>
        <w:t>Interjeté en temps utile - c’est-à-dire dans le délai de dix jours - devant la juridiction compétente, le recours est recevable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w:t>
      </w:r>
    </w:p>
    <w:p>
      <w:r>
        <w:rPr>
          <w:b/>
        </w:rPr>
        <w:t>E. 2</w:t>
      </w:r>
    </w:p>
    <w:p>
      <w:r>
        <w:t>Selon l’art. 10 al. 2 1ère phr. LaLEtr, la chambre administrative doit statuer dans les dix jours qui suivent sa saisine. Ayant reçu le recours le 6 février 2017 et statuant ce jour, elle respecte ce délai.</w:t>
      </w:r>
    </w:p>
    <w:p>
      <w:r>
        <w:t>La chambre administrative est en outre compétente pour apprécier l’opportunité des décisions portées devant elle (art. 10 al. 2 2ème phr. LaLEtr).</w:t>
      </w:r>
    </w:p>
    <w:p>
      <w:r>
        <w:rPr>
          <w:b/>
        </w:rPr>
        <w:t>E. 3</w:t>
      </w:r>
    </w:p>
    <w:p>
      <w:r>
        <w:t>Au terme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rPr>
          <w:b/>
        </w:rPr>
        <w:t>E. 4</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w:t>
      </w:r>
    </w:p>
    <w:p>
      <w:r>
        <w:t>- 6/8 - A/174/2017 (ATA/142/2012 du 14 mars 2012 ; ATA/118/2011 du 16 février 2011 ; ATA/315/2010 du 6 mai 2010 ; ATA/185/2008 du 15 avril 2008).</w:t>
      </w:r>
    </w:p>
    <w:p>
      <w:r>
        <w:t>Des indices concrets de délits commis dans le milieu de la drogue ou des contacts avec des extrémistes suffisent à la justifier, de même que la violation grossière des règles tacites de la cohabitation sociale (ATA/607/2013 du 12 septembre 2013 consid. 4 ; ATA/46/2013 du 25 janvier 2013 consid. 3 ; ATA/408/2008 du 12 août 2008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(arrêts du Tribunal fédéral 2C_570/2016 du 30 juin 2016 consid. 5.3 ; 2C_197/2013 du 31 juillet 2013 consid. 3.1 et les arrêts cités).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w:t>
      </w:r>
    </w:p>
    <w:p>
      <w:r>
        <w:rPr>
          <w:b/>
        </w:rPr>
        <w:t>E. 5</w:t>
      </w:r>
    </w:p>
    <w:p>
      <w:r>
        <w:t>En l’espèce, le simple prononcé de l’ordonnance pénale du 5 janvier 2017, quand bien même elle n’est pas entrée en force, fonde des soupçons de commission d’infractions dans le milieu de la drogue. Même en ne prenant en compte que les faits admis par le recourant, il se trouvait dans un lieu où se pratique le trafic de drogue, en compagnie d’une personne en ayant vendu, et il avait sur lui une boulette de 1.1 g de cocaïne, ce qui suffit amplement à nourrir de tels soupçons et à faire en sorte que les autorités de police veuillent l’écarter de la scène de la drogue genevoise.</w:t>
      </w:r>
    </w:p>
    <w:p>
      <w:r>
        <w:t>Quant à l’appréciation arbitraire des preuves, on ne peut retenir que le témoignage de M. B______ devant le TAPI, coprévenu du recourant et dont les déclarations contredisent directement celles qu’il avait faites à la police lors de son arrestation, puisse permettre de remettre en cause les autres éléments de fait découlant du dossier, telles que les observations des policiers, les images de vidéosurveillance – quand bien même elles ne montrent que l’invite faite par le recourant au toxicomane, et non la transaction proprement dite – et les déclarations de M. C______, sans même parler de la possession de cocaïne sous sa langue et d’un montant en numéraire dont la provenance n’a pas été établie.</w:t>
      </w:r>
    </w:p>
    <w:p>
      <w:r>
        <w:t>Les conditions d’application de l’art. 74 al. 1 let. a LEtr étaient dès lors remplies, et les griefs liés à l’établissement inexact des faits et à l’appréciation arbitraire des preuves doivent être écartés.</w:t>
      </w:r>
    </w:p>
    <w:p>
      <w:r>
        <w:t>- 7/8 - A/174/2017</w:t>
      </w:r>
    </w:p>
    <w:p>
      <w:r>
        <w:rPr>
          <w:b/>
        </w:rPr>
        <w:t>E. 6</w:t>
      </w:r>
    </w:p>
    <w:p>
      <w:r>
        <w:t>S’agissant de la proportionnalité de la mesure, le recourant est censé résider, en tant que requérant d’asile débouté, dans un autre canton que celui de Genève, et les allégations quant à une relation intime avec une résidente genevoise n’ont en l’état aucune substance, n’étant en rien étayées.</w:t>
      </w:r>
    </w:p>
    <w:p>
      <w:r>
        <w:t>La durée de la mesure apparaissant par ailleurs raisonnable au vu des circonstances, la proportionnalité de celle-ci ne peut qu’être confirmée.</w:t>
      </w:r>
    </w:p>
    <w:p>
      <w:r>
        <w:rPr>
          <w:b/>
        </w:rPr>
        <w:t>E. 7</w:t>
      </w:r>
    </w:p>
    <w:p>
      <w:r>
        <w:t>Au vu de ce qui précède, le recours, qui confine à la témérité, sera rejeté.</w:t>
      </w:r>
    </w:p>
    <w:p>
      <w:r>
        <w:rPr>
          <w:b/>
        </w:rPr>
        <w:t>E. 8</w:t>
      </w:r>
    </w:p>
    <w:p>
      <w:r>
        <w:t>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