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ATA/186/2014 vom 25. März 2014</w:t>
      </w:r>
    </w:p>
    <w:p>
      <w:r>
        <w:t>GE Cour de justice, 2014-03-25, FR</w:t>
      </w:r>
    </w:p>
    <w:p>
      <w:r>
        <w:rPr>
          <w:b/>
        </w:rPr>
        <w:t xml:space="preserve">Quelle: </w:t>
      </w:r>
      <w:r>
        <w:t>https://mcp.opencaselaw.ch/entscheid/ge_gerichte_ATA_186_2014</w:t>
      </w:r>
    </w:p>
    <w:p>
      <w:r>
        <w:t>FR: GE_GERICHTE ATA/186/2014 du 25 mars 2014</w:t>
      </w:r>
    </w:p>
    <w:p>
      <w:r>
        <w:t>IT: GE_GERICHTE ATA/186/2014 del 25 marzo 2014</w:t>
      </w:r>
    </w:p>
    <w:p>
      <w:pPr>
        <w:pStyle w:val="Heading2"/>
      </w:pPr>
      <w:r>
        <w:t>Regeste</w:t>
      </w:r>
    </w:p>
    <w:p>
      <w:r>
        <w:t>Résumé: Faillite d'un restaurant puis reprise sans autorisation d'exploiter de la part de la gérante. La gérante n'a pas la qualité pour recourir, la décision étant dirigée contre la personne qui possède l'autorisation d'exploiter. Défaut d'un contrat de bail à loyer et pas d'autorisation de l'office des faillites pour la poursuite de l'exploitation.</w:t>
      </w:r>
    </w:p>
    <w:p>
      <w:pPr>
        <w:pStyle w:val="Heading2"/>
      </w:pPr>
      <w:r>
        <w:t>Erwägungen</w:t>
      </w:r>
    </w:p>
    <w:p>
      <w:r>
        <w:rPr>
          <w:b/>
        </w:rPr>
        <w:t>E. 23</w:t>
      </w:r>
    </w:p>
    <w:p>
      <w:r>
        <w:t>mars 2010 consid. 4). Tel n'est pas le cas de celui qui n'est atteint que de manière indirecte ou médiate (ATF 130 V 202 consid. 3 ; 133 V 188 consid. 4.3.1).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leur impose des obligations (F. BELLANGER, La qualité de partie à la procédure administrative, in :</w:t>
      </w:r>
    </w:p>
    <w:p>
      <w:r>
        <w:t>- 6/7 - A/3238/2013 T. TANQUEREL/F. BELLANGER, Les tiers dans la procédure administrative, 2004, p. 43 ss). 3)</w:t>
      </w:r>
    </w:p>
    <w:p>
      <w:r>
        <w:t>En l'espèce, Mme A______ n'est pas la destinataire de la décision litigieuse, laquelle constate la caducité de l'autorisation d'exploiter délivrée à Mme C______.</w:t>
      </w:r>
    </w:p>
    <w:p>
      <w:r>
        <w:t>L'intérêt de la recourante à l'admission du recours est au plus indirect : dans cette hypothèse, la recourante pourrait continuer à œuvrer pour le P______, pour le compte de l'exploitante, dans la mesure où l'établissement disposerait des locaux nécessaires, ce qui n'est plus le cas.</w:t>
      </w:r>
    </w:p>
    <w:p>
      <w:r>
        <w:t>Le recours, en ce qu'il conclut à l'annulation de la décision du 14 décembre 2012, est dès lors irrecevable faute de qualité pour agir. 4)</w:t>
      </w:r>
    </w:p>
    <w:p>
      <w:r>
        <w:t>Le Scom n'ayant pas formellement statué sur la demande d'autorisation d'exploiter le P______ déposée par Mme A______ le 14 mars 2013, le recours pourrait viser le silence, voire le refus implicite, de l'autorité.</w:t>
      </w:r>
    </w:p>
    <w:p>
      <w:r>
        <w:t>L'exploitation d'un établissement de débit de boisson ou de restauration est soumise à autorisation (art. 1 let. a et art. 4 al. 1 LRDBH). L'autorisation d'exploiter est délivrée aux conditions de l'art. 5 LRDBH. L'exploitant doit notamment être désigné par le propriétaire de l'établissement comme gérant (art. 5 al. 1 let. f LRDBH) et disposer de l'accord du bailleur (art. 5 al. 1 let. g LRRDBH).</w:t>
      </w:r>
    </w:p>
    <w:p>
      <w:r>
        <w:t>En l'espèce, le bailleur n'a pas souhaité prolonger le bail commercial des locaux du P______ après le 15 février 2013. Le 30 janvier 2014, le TBL a condamné Mme A______ à évacuer immédiatement les locaux du P______ situés route de F______ ______. L'intéressée n'a jamais démontré que l'office avait autorisé la continuation de l'exploitation du café-restaurant. L'intéressée n'a pas de local pour exploiter un café-restaurant. Dès lors, le SCom ne pouvait lui délivrer une autorisation d'exploiter le café-restaurant « Le P______ ». 5)</w:t>
      </w:r>
    </w:p>
    <w:p>
      <w:r>
        <w:t>Au vu de ce qui précède, le recours sera rejeté en tant qu'il est recevable. Vu cette issue, un émolument de CHF 500.- sera mis à la charge de la recourante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