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ATA/185/2015 vom 17. Februar 2015</w:t>
      </w:r>
    </w:p>
    <w:p>
      <w:r>
        <w:t>GE Cour de justice, 2015-02-17, FR</w:t>
      </w:r>
    </w:p>
    <w:p>
      <w:r>
        <w:rPr>
          <w:b/>
        </w:rPr>
        <w:t xml:space="preserve">Quelle: </w:t>
      </w:r>
      <w:r>
        <w:t>https://mcp.opencaselaw.ch/entscheid/ge_gerichte_ATA_185_2015</w:t>
      </w:r>
    </w:p>
    <w:p>
      <w:r>
        <w:t>FR: GE_GERICHTE ATA/185/2015 du 17 février 2015</w:t>
      </w:r>
    </w:p>
    <w:p>
      <w:r>
        <w:t>IT: GE_GERICHTE ATA/185/2015 del 17 febbraio 2015</w:t>
      </w:r>
    </w:p>
    <w:p>
      <w:pPr>
        <w:pStyle w:val="Heading2"/>
      </w:pPr>
      <w:r>
        <w:t>Erwägungen</w:t>
      </w:r>
    </w:p>
    <w:p>
      <w:r>
        <w:rPr>
          <w:b/>
        </w:rPr>
        <w:t>E. 12</w:t>
      </w:r>
    </w:p>
    <w:p>
      <w:r>
        <w:t>septembre 1985 - LPA - E 5 10). 2) a. L’exploitation d’un taxi de service public est régie par la loi sur les taxis et limousines (transport professionnel de personnes au moyen de voitures automobiles) du 21 janvier 2005 (LTaxis - H 1 30) entrée en vigueur le 15 mai 2005. Elle est soumise à autorisation (art. 11 al. 1 LTaxis).</w:t>
      </w:r>
    </w:p>
    <w:p>
      <w:r>
        <w:t>- 4/7 - A/1923/2013</w:t>
      </w:r>
    </w:p>
    <w:p>
      <w:r>
        <w:t>En vertu de l’art. 20 al. 1 LTaxis, le nombre d’autorisations d’exploiter un taxi de service public est limité en vue d’assurer une utilisation optimale du domaine public, notamment des stations de taxis et des voies réservées aux transports en commun et un bon fonctionnement des services de taxis, en fonction d’un nombre maximal déterminé et adapté par le département selon les modalités et critères définis à l’art. 20 al. 2 LTaxis.</w:t>
      </w:r>
    </w:p>
    <w:p>
      <w:r>
        <w:t>A teneur de l’art. 21 al. 1 LTaxis, les autorisations sont délivrées à ceux qui les requièrent et qui justifient qu’ils remplissent les conditions légales à cette délivrance.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Selon l’art. 20 al. 3 du règlement d’exécution de la loi sur les taxis et limousines du 4 mai 2005 (LTaxis - H 1 30.01), tout titulaire de la carte professionnelle de chauffeur de taxi avec mention du droit de travailler comme indépendant peut s’inscrire sur la liste d’attente pour la délivrance d’un permis de service public. Le rang des candidats est fixé selon la date à laquelle la demande d’inscription a été reçue par le SCOM, pour autant que la demande soit valide (art. 20 al. 5 LTaxis). Les permis sont attribués ou annulés selon la liste d’attente (art. 20 al. 7 LTaxis).</w:t>
      </w:r>
    </w:p>
    <w:p>
      <w:r>
        <w:t>En vertu de l’art. 4 al. 1 et 2 LTaxis, les requêtes en vue de la délivrance d’une autorisation d’exploiter au sens des art. 10 à 15 LTaxis sont faites sur la base de formulaires délivrés par le service. Ce dernier détermine et fait figurer sur les formulaires la liste des pièces exigées afin de prouver que le requérant remplit les conditions exigées par la loi pour l’obtention de l’autorisation d’exploiter qu’il sollicite. Il peut également exiger la production d’autres documents nécessaires à l’établissement de ses registres ou de l’autorisation.</w:t>
      </w:r>
    </w:p>
    <w:p>
      <w:r>
        <w:t>b. En l’espèce, la LTaxis est entrée en vigueur le 15 mai 2005, soit avant que le recourant ne sollicite du Scom l’autorisation d’exploiter un taxi de service privé. Il est donc entièrement soumis à cette législation pour l’obtention de l’autorisation querellée. 3)</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 131 II 627 consid. 6.1 et les arrêts cités ; arrêts du Tribunal fédéral 1C_151/2012 du 5 juillet 2012 consid. 4.2.1 et 2C_1023/2011 du 10 mai 2012 consid. 5).</w:t>
      </w:r>
    </w:p>
    <w:p>
      <w:r>
        <w:t>- 5/7 - A/1923/2013</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(ATA/811/2012 du 27 novembre 2012 consid. 2.a ; ATA/398/2012 du 26 juin 2012 consid. 8 et les arrêts cités ; Pierre MOOR/Alexandre FLÜCKIGER/Vincent MARTENET, Droit administratif, 2012, n. 6.4.1.2 et 6.4.2.1 ; Thierry TANQUEREL, Manuel de droit administratif, 2011, n. 578 ss ; Georg MULLER/Ulrich HÄFELIN/Felix UHLMANN, Allgemeines Verwaltungsrecht, 2010, n. 696 ss ; Andreas AUER/ Giorgio MALINVERNI/ Michel HOTTELIER, op. cit., n. 1165 ss).</w:t>
      </w:r>
    </w:p>
    <w:p>
      <w:r>
        <w:t>La protection de la bonne foi ne vaut toutefois pas si l’intéressé connaissait l’inexactitude de l’indication ou aurait pu la connaître en consultant simplement les dispositions légales pertinentes (Thierry TANQUEREL, op. cit., n. 571 et les références citées). 4)</w:t>
      </w:r>
    </w:p>
    <w:p>
      <w:r>
        <w:t>L’instruction établit, par le témoignage de Mme E_________, que, suite à l’entrée en vigueur, en 2005, de la LTaxis, le SCOM n’a pas mis immédiatement à la disposition des requérants d’autorisations d’exploitation d’un taxi de service public un formulaire type à remplir à cette fin, alors même que l’art. 4 al. 1 Rtaxi le prévoyait. En l’absence de précision du SCOM sur la date à laquelle ledit formulaire a effectivement été mis à disposition des usagers, il sera admis que le recourant s’est adressé à ce service pendant cette période intermédiaire. Toutefois, les affirmations du recourant à propos des assurances qui lui auraient été données au guichet par Mme E_________ au sujet d’une automaticité de l’inscription sur la liste d’attente de l’art. 21 al. 3 LTaxis, même corroborées par les déclarations de ses trois collègues chauffeurs de taxi, lesquelles ont rapporté avoir vécu une expérience similaire (déclarations du témoin C______ ainsi que de M. et Mme D_________), ne peuvent être tenu comme avérées. Non seulement, Mme E_________ conteste formellement avoir donné de telles assurances, mais de telles assurances se trouvent être en contradiction totale avec le système de délivrance des autorisations mis en place par la LTaxis et le RTaxis que les chauffeurs de taxi ne sont pas censés ignorer. D’une part, ces textes distinguent la délivrance de la carte professionnelle de chauffeur (art. 5 al. 1 LTaxis) de celle de l’autorisation d’exploiter un taxi à titre indépendant (de service public ou privé au sens de l’art. 9 LTaxis). D’autre part, l’art. 21 al. 2 LTaxis se réfère expressément à la formulation d’une requête spécifique de la part de tout intéressé pour la délivrance d’une autorisation d’exploiter un service de taxi, l’art. 4 al. 1 RTaxis</w:t>
      </w:r>
    </w:p>
    <w:p>
      <w:r>
        <w:t>- 6/7 - A/1923/2013 précisant, dès l’entrée en vigueur du règlement, que cette requête devait se faire en complétant un formulaire. Même si ledit formulaire n’a été créé qu’après l’entrée en vigueur de la LTaxis et du RTaxis, la nécessité d’une requête expresse à formuler par tout intéressé ressort donc du texte légal. Le seul mécanisme automatique mis en place par la loi réside dans le fait que celui qui s’inscrit au moment où le nombre maximal d’autorisation de taxi de service public est dépassé, voit sa requête inscrite sans autre formalité sur la liste d’attente, ainsi que le prévoit l’art. 21 al. 3 LTaxis.</w:t>
      </w:r>
    </w:p>
    <w:p>
      <w:r>
        <w:t>Il n’est aucunement exclu que la source du litige qui a conduit au présent contentieux, réside dans une mauvaise compréhension par le recourant voire par les autres témoins du système qui venait d’être mis en place après l’entrée en vigueur de la LTaxis, voire des explications qui lui ont été fournies au guichet du SCOM. Quoi qu’il en soit, à l’issue de l’instruction de la présente cause, au regard des critères relatifs à l’application du principe de la bonne foi dont le recourant se prévaut, d’une part, il n’est pas établi que celui-ci ait reçu les assurances qu’il invoque, relatives à l’automaticité, suite à la délivrance de la carte professionnelle, de son inscription sur la liste comme requérant d’une autorisation d’exploitation d’un taxi de service public. D’autre part, l’on pouvait attendre de lui qu’il se renseigne plus précisément, en l’absence de nouvelles du SCOM, sur les démarches à effectuer réellement pour figurer sur la liste d’attente, sans attendre plusieurs années pour constater son erreur. 5)</w:t>
      </w:r>
    </w:p>
    <w:p>
      <w:r>
        <w:t>Au vu de ce qui précède, le recours sera rejeté. Vu l’issue de la procédure, un émolument de CHF 1'000.- sera mis à la charge du recourant. Aucune indemnité de procédure ne lui sera allouée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