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ATA/183/2023 vom 28. Februar 2023</w:t>
      </w:r>
    </w:p>
    <w:p>
      <w:r>
        <w:t>GE Cour de justice, 2023-02-28, FR</w:t>
      </w:r>
    </w:p>
    <w:p>
      <w:r>
        <w:rPr>
          <w:b/>
        </w:rPr>
        <w:t xml:space="preserve">Quelle: </w:t>
      </w:r>
      <w:r>
        <w:t>https://mcp.opencaselaw.ch/entscheid/ge_gerichte_ATA_183_2023</w:t>
      </w:r>
    </w:p>
    <w:p>
      <w:r>
        <w:t>FR: GE_GERICHTE ATA/183/2023 du 28 février 2023</w:t>
      </w:r>
    </w:p>
    <w:p>
      <w:r>
        <w:t>IT: GE_GERICHTE ATA/183/2023 del 28 febbraio 2023</w:t>
      </w:r>
    </w:p>
    <w:p>
      <w:pPr>
        <w:pStyle w:val="Heading2"/>
      </w:pPr>
      <w:r>
        <w:t>Erwägungen</w:t>
      </w:r>
    </w:p>
    <w:p>
      <w:r>
        <w:rPr>
          <w:b/>
        </w:rPr>
        <w:t>E. 2</w:t>
      </w:r>
    </w:p>
    <w:p>
      <w:r>
        <w:t>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t>b. En l'espèce, la recourante perçoit depuis le 1er mai 2018 une demi rente AI mensuelle de CHF 401.- (dès le 1er mai 2018) puis de CHF 404.- (dès le 1er janvier 2019), puis une rente entière de CHF 808.- (dès le 1er avril 2020) et enfin de CHF 815.- (dès le 1er janvier 2021), à laquelle, vu son faible montant, s'ajoutent des prestations complémentaires mensuelles fédérales et cantonales fixées selon décision du 1er décembre 2021, à CHF 2'140.20 (PCF) et CHF 754.- (PCC) à compter du 1er janvier 2022.</w:t>
      </w:r>
    </w:p>
    <w:p>
      <w:r>
        <w:t>Ainsi, dans la mesure où la couverture des besoins vitaux de la recourante nécessite le versement de prestations complémentaires mensuelles, elle ne peut pas se prévaloir de l'art. 24 § 1 annexe I ALCP à l'appui de sa demande de renouvellement de son autorisation de séjour. 8)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w:t>
      </w:r>
    </w:p>
    <w:p>
      <w:r>
        <w:t>- 17/23 - A/358/2022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t>b. En application de l'art. 31 OASA, il est possible d'octroyer une autorisation de séjour UE/AELE aux ressortissants portugais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C- 3337/2010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w:t>
      </w:r>
    </w:p>
    <w:p>
      <w:r>
        <w:t>Les conditions auxquelles la reconnaissance d'un cas de rigueur est soumise doivent être appréciées de manière restrictive. Il est nécessaire que l'étranger</w:t>
      </w:r>
    </w:p>
    <w:p>
      <w:r>
        <w:t>- 18/23 - A/358/2022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 ATA/35/2020 du 14 janvier 2020 consid. 3b). 9)</w:t>
      </w:r>
    </w:p>
    <w:p>
      <w:r>
        <w:t>En l’espèce, la recourante est arrivée en Suisse le 15 octobre 2011 et a été mise au bénéfice d’une autorisation de séjour avec activité lucrative valable jusqu’au 14 octobre 2016. Le 23 juin 2016, elle a été licenciée et a bénéficié de prestations de l’hospice d’abord, puis d’une rente AI complétée par des prestations complémentaires.</w:t>
      </w:r>
    </w:p>
    <w:p>
      <w:r>
        <w:t>Elle vit depuis lors grâce à ces versements.</w:t>
      </w:r>
    </w:p>
    <w:p>
      <w:r>
        <w:t>Son intégration ne saurait être qualifiée de réussie, considérant en particulier l’aide sociale dont elle bénéficie depuis 2016, les importantes prestations complémentaires qu’elle perçoit et la rente AI dont elle est bénéficiaire depuis mai 2018.</w:t>
      </w:r>
    </w:p>
    <w:p>
      <w:r>
        <w:t>Elle fait par ailleurs l’objet d’actes de défaut de biens d’un montant total de CHF 2'626.47 et une demande de restitution d’une somme de CHF 43'208.- est en cours auprès de l’hospice, après renvoi de la chambre administrative le 26 juillet 2022.</w:t>
      </w:r>
    </w:p>
    <w:p>
      <w:r>
        <w:t>Arrivée en Suisse pour la première fois en 1983, elle est retournée dans son pays d’origine de 1993 à 2011, date à laquelle elle est revenue en Suisse et y est restée depuis lors. Elle a donc vécu au Portugal son enfance, son adolescence et une bonne partie de sa vie d’adulte. On ne saurait dès lors retenir que le Portugal ainsi que son système lui sont inconnus. Il ne fait pas de doute qu'elle pourra se réintégrer sans difficulté dans son pays d’origine qu'elle a quitté il y a un peu plus de dix ans.</w:t>
      </w:r>
    </w:p>
    <w:p>
      <w:r>
        <w:t>La durée de son séjour en Suisse doit en outre être relativisée puisqu’elle n’a été au bénéfice d’une autorisation de séjour que jusqu’au mois d’octobre 2016 et qu’elle y demeure depuis lors sur la simple tolérance des autorités.</w:t>
      </w:r>
    </w:p>
    <w:p>
      <w:r>
        <w:t>Elle n'a pas démontré qu'elle entretiendrait à Genève ou en Suisse des liens si étroits qu'un retour dans son pays d'origine ne pourrait être envisagé. S'il est vrai qu'un retour au Portugal impliquera certainement des difficultés pour la recourante, tant sur le plan personnel que financier, le dossier ne contient pas d'éléments prépondérants attestant que celles-ci seraient plus graves que pour</w:t>
      </w:r>
    </w:p>
    <w:p>
      <w:r>
        <w:t>- 19/23 - A/358/2022 d'autres compatriotes contraints de retourner dans leur pays d'origine au terme d'un séjour régulier en Suisse. Il sera au demeurant relevé que la rente invalidité qu’elle touche sera exportable.</w:t>
      </w:r>
    </w:p>
    <w:p>
      <w:r>
        <w:t>S’agissant de ses problèmes de santé, il n'est pas démontré que le suivi et les soins nécessaires à son état ne seraient pas disponibles au Portugal. La seule évocation d'une rupture du lien thérapeutique et de la nécessité de nouer un tel lien avec de nouveaux thérapeutes dans son pays d’origine ne saurait justifier une dérogation. De plus, il n'a pas été prouvé que ses problèmes de santé seraient d'une telle gravité que le fait de demeurer dans son pays d'origine serait de nature à mettre en danger sa vie ou sa santé, ni que le traitement mis en place ne pourrait être suivi qu'en Suisse. Ainsi, son état de santé ne peut à lui seul justifier le renouvellement de son permis de séjour.</w:t>
      </w:r>
    </w:p>
    <w:p>
      <w:r>
        <w:t>Compte tenu de ces éléments, l'OCPM n'a pas abusé de son pouvoir d'appréciation en estimant qu'aucun motif important ne justifiait la délivrance d'une autorisation de séjour en faveur de la recourante, que ce soit sur la base de l'art. 20 OLCP ou de l'art. 31 OASA. 10) La recourante a conclu à titre subsidiaire à l'octroi d'une autorisation d'établissement.</w:t>
      </w:r>
    </w:p>
    <w:p>
      <w:r>
        <w:t>a. 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w:t>
      </w:r>
    </w:p>
    <w:p>
      <w:r>
        <w:t>L’autorisation d’établissement peut être octroyée au terme d’un séjour plus court si des raisons majeures le justifient (art. 34 al. 3 LEI).</w:t>
      </w:r>
    </w:p>
    <w:p>
      <w:r>
        <w:t>b. En l’occurrence, la recourante ne peut justifier d'un séjour autorisé de dix ans au moins puisque sa présence sur le territoire est uniquement tolérée depuis 2016. En l'absence de raisons majeures, comme vu ci-dessus, justifiant de déroger à cette condition, c'est à juste titre et sans abuser de son pouvoir d'appréciation que l'OCPM puis le TAPI ont refusé de lui octroyer un permis d'établissement. 11) a. L'exécution d'un renvoi n'est pas possible lorsque l'étranger ne peut pas quitter la Suisse pour son État d'origine, son État de provenance ou un État tiers, ni être renvoyé dans un de ces États (art. 83 al. 2 LEI).</w:t>
      </w:r>
    </w:p>
    <w:p>
      <w:r>
        <w:t>Il ne ressort pas de la procédure que le renvoi de la recourante se heurterait à des obstacles d'ordre technique et s'avérerait ainsi matériellement impossible au</w:t>
      </w:r>
    </w:p>
    <w:p>
      <w:r>
        <w:t>- 20/23 - A/358/2022 sens de l'art. 83 al. 2 LEI, ce qu’elle ne fait d'ailleurs pas valoir. L'exécution du renvoi s'avère donc possible.</w:t>
      </w:r>
    </w:p>
    <w:p>
      <w:r>
        <w:t>b. L'exécution n'est pas licite lorsque le renvoi de l'étranger dans son État d'origine ou de provenance ou dans un État tiers est contraire aux engagements de la Suisse relevant du droit international (art. 83 al. 3 LEI).</w:t>
      </w:r>
    </w:p>
    <w:p>
      <w:r>
        <w:t>La recourante ne soutient pas que ce serait le cas, étant relevé que son renvoi aurait lieu au Portugal, pays où elle ne court aucun risque particulier.</w:t>
      </w:r>
    </w:p>
    <w:p>
      <w:r>
        <w:t>c.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w:t>
      </w:r>
    </w:p>
    <w:p>
      <w:r>
        <w:t>- 21/23 - A/358/2022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t>d. En l'espèce, sans minimiser les pathologies dont la recourante souffre, elle ne démontre nullement que sa santé ne pourrait être traitée ou suivie au Portugal, pays qui dispose d'un système de santé similaire à celui que l'on peut trouver en Suisse. S’agissant de la difficulté qu’elle invoque en lien avec la création d’un lien thérapeutique avec de nouveaux soignants dans son pays d’origine, elle ne saurait à elle seule faire obstacle à son renvoi, étant relevé pour le surplus que la même problématique pourrait tout autant se présenter en Suisse.</w:t>
      </w:r>
    </w:p>
    <w:p>
      <w:r>
        <w:t>Elle ne remplit donc pas les conditions d'une admission provisoire au sens de l'art. 83 LEI.</w:t>
      </w:r>
    </w:p>
    <w:p>
      <w:r>
        <w:t>En tous points mal fondé, le recours sera dès lors rejeté. 12) Vu l'issue du litige, un émolument de CHF 400.- sera mis à la charge de la recourante et aucune indemnité de procédure ne sera allouée (art. 87 LAP).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