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ATA/183/2020 vom 18. Februar 2020</w:t>
      </w:r>
    </w:p>
    <w:p>
      <w:r>
        <w:t>GE Cour de justice, 2020-02-18, FR</w:t>
      </w:r>
    </w:p>
    <w:p>
      <w:r>
        <w:rPr>
          <w:b/>
        </w:rPr>
        <w:t xml:space="preserve">Quelle: </w:t>
      </w:r>
      <w:r>
        <w:t>https://mcp.opencaselaw.ch/entscheid/ge_gerichte_ATA_183_2020</w:t>
      </w:r>
    </w:p>
    <w:p>
      <w:r>
        <w:t>FR: GE_GERICHTE ATA/183/2020 du 18 février 2020</w:t>
      </w:r>
    </w:p>
    <w:p>
      <w:r>
        <w:t>IT: GE_GERICHTE ATA/183/2020 del 18 febbraio 2020</w:t>
      </w:r>
    </w:p>
    <w:p>
      <w:pPr>
        <w:pStyle w:val="Heading2"/>
      </w:pPr>
      <w:r>
        <w:t>Erwägungen</w:t>
      </w:r>
    </w:p>
    <w:p>
      <w:r>
        <w:rPr>
          <w:b/>
        </w:rPr>
        <w:t>E. 12</w:t>
      </w:r>
    </w:p>
    <w:p>
      <w:r>
        <w:t>septembre 1985 - LPA - E 5 10). 2)</w:t>
      </w:r>
    </w:p>
    <w:p>
      <w:r>
        <w:t>Le litige porte sur la conformité au droit de la décision du 28 août 2019 de la ville refusant de réduire le temps de travail de la recourante de 80 à 72 % dès le 1er mai 2020 suite à la requête tendant à une diminution à 70 %.</w:t>
      </w:r>
    </w:p>
    <w:p>
      <w:r>
        <w:t>- 6/9 - A/3610/2019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w:t>
      </w:r>
    </w:p>
    <w:p>
      <w:r>
        <w:t>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w:t>
      </w:r>
    </w:p>
    <w:p>
      <w:r>
        <w:rPr>
          <w:b/>
        </w:rPr>
        <w:t>E. 16</w:t>
      </w:r>
    </w:p>
    <w:p>
      <w:r>
        <w:t>janvier 2018 consid. 6a et les références citées). 5)</w:t>
      </w:r>
    </w:p>
    <w:p>
      <w:r>
        <w:t>En l’espèce, la ville a refusé la requête de la recourante au motif du « manque d’effectif du service ». Cette argumentation n’apparaît pas convaincante puisque la ville reconnaît que les diminutions du taux de travail sollicitées hors application de l’art. 74 al. 2 du statut sont accordées.</w:t>
      </w:r>
    </w:p>
    <w:p>
      <w:r>
        <w:t>Par ailleurs, l’autorité intimée allègue un manque d’effectif, principalement sur le terrain. La recourante ne s’y trouve toutefois pas puisqu’elle est ______ au SEVE. La ville n’indique pas précisément en quoi une diminution de 8, voire 10 % du taux d’activité de l’intéressée risquerait d’entraver le bon déroulement des tâches du SEVE.</w:t>
      </w:r>
    </w:p>
    <w:p>
      <w:r>
        <w:t>La recourante indique par ailleurs pouvoir effectuer son travail dans le taux d’activité réduit. La diminution souhaitée est en effet peu importante. Il s’agit de quelques heures par semaine. Pour le surplus, cette diminution ne remet pas en cause la présence de l’intéressée sur son lieu de travail tous les jours de la semaine.</w:t>
      </w:r>
    </w:p>
    <w:p>
      <w:r>
        <w:t>- 7/9 - A/3610/2019</w:t>
      </w:r>
    </w:p>
    <w:p>
      <w:r>
        <w:t>Certes, la ville prend le risque que, jusqu’à l’âge de 64 ans, soit pendant sept ans, le taux d’activité réduit de 8 ou 10 % de la recourante ne soit pas remplacé. Cette possibilité est toutefois offerte par le statut.</w:t>
      </w:r>
    </w:p>
    <w:p>
      <w:r>
        <w:t>Il ressort du dossier que ce n’est pas la réduction du temps de travail en tant que telle qui est problématique, mais celle prévue par l’art. 74 al. 2 et 3 du statut. Contrairement à la diminution usuelle du taux de travail, prévue à l’al. 1, celle prévue aux alinéas suivants ne libère pas de disponible budgétaire. La personne bénéficie d’une réduction de son taux de travail et d’une réduction de la moitié dudit taux s’agissant de son traitement. Pour sa part, la ville ne remplace pas la diminution du taux de travail dans l’unité jusqu’au départ à la retraite de l’intéressé. Compte tenu des différentes modifications statutaires et du règlement de la caisse de pension, l’âge de la retraite a passé de 62 à 64 ans. Par ailleurs, les employés bénéficient maintenant d’un droit à prolonger leur activité professionnelle jusqu’à l’âge de la retraite AVS. En conséquence, l’absence de disponible budgétaire pour remplacer le taux d’activité diminué peut aujourd’hui durer jusqu’à huit ans, soit de 57 à 65 ans.</w:t>
      </w:r>
    </w:p>
    <w:p>
      <w:r>
        <w:t>La chambre de céans a toutefois tranché, dans un arrêt du 11 février 2020 (ATA/138/2020), que les raisons budgétaires ne sauraient justifier un refus de la diminution du taux de travail en application de l’art. 74 al. 2 et 3 du statut. Cette règle est prévue par le statut, et le pouvoir exécutif est tenu d’appliquer la loi et ne peut simplement refuser de l'appliquer. Si la ville souhaite dorénavant refuser d’offrir cette possibilité à ses employés, il lui appartient de suivre les mécanismes prévus à cet effet et notamment l’art. 18 al. 5 du statut selon lequel le Conseil administratif ou l’instance déléguée par lui à cet effet ouvre des négociations avec les organisations représentatives du personnel et les commissions du personnel concernées avant toute modification du statut ou du REGAP notamment.</w:t>
      </w:r>
    </w:p>
    <w:p>
      <w:r>
        <w:t>Par conséquent, les motifs invoqués par la ville à l’appui du refus de la diminution du taux d’activité de la recourante à savoir « le manque d’effectif du service » ne sont pas fondés. Pour leur part, les motifs budgétaires ne peuvent impliquer que la ville renonce d’emblée à exercer son pouvoir d’appréciation, sauf à ce qu’elle commette un excès négatif de son pouvoir d’appréciation, comme en l’espèce.</w:t>
      </w:r>
    </w:p>
    <w:p>
      <w:r>
        <w:t>Certes la ville ne pourra probablement pas accepter toutes les demandes qui seront formulées. Il lui appartiendra toutefois d’examiner, dans chaque situation précise, les intérêts en jeu afin d’exercer le pouvoir d’appréciation que le statut lui a conféré et d’éviter de commettre un excès de celui-ci en renonçant d’emblée, en tout ou partie, à l’exercer.</w:t>
      </w:r>
    </w:p>
    <w:p>
      <w:r>
        <w:t>S'agissant de l'argument de l'autorité intimée selon lequel l'art. 74 al. 2 du statut n'est que potestatif, il est rappelé que les termes utilisés par le législateur ne sont pas toujours décisifs. La jurisprudence a reconnu à de nombreuses reprises</w:t>
      </w:r>
    </w:p>
    <w:p>
      <w:r>
        <w:t>- 8/9 - A/3610/2019 l'existence d'un droit découlant de la législation fédérale, alors que le texte légal employait le mot « peut » (« Kann-Vorschrift ») qui implique, a priori, une liberté d'appréciation (arrêt du Tribunal fédéral 2C_229/2015 du 31 mars 2016 consid. 1.2.2 et les arrêts cités).</w:t>
      </w:r>
    </w:p>
    <w:p>
      <w:r>
        <w:t>En l'espèce, la mesure en cause (art. 74 al. 2 du statut) a été introduite pour favoriser les temps partiels, ce qui devrait pousser l’autorité, sinon à ériger en véritable droit le passage à un taux d’activité inférieur, du moins à répondre favorablement aux demandes lorsqu’elle le peut.</w:t>
      </w:r>
    </w:p>
    <w:p>
      <w:r>
        <w:t>La décision querellée sera annulée et la diminution du taux de travail de 80 % à 70 % sera admise avec une diminution du taux de traitement de la recourante de 80 % à 75 %.</w:t>
      </w:r>
    </w:p>
    <w:p>
      <w:r>
        <w:t>Le dossier sera renvoyé à la ville pour définir les modalités de la diminution, soit principalement les horaires et le dies a quo, étant rappelé que la recourante a sollicité une diminution de son temps de travail à compter du 1er mai 2020. 6)</w:t>
      </w:r>
    </w:p>
    <w:p>
      <w:r>
        <w:t>Vu l’issue du litige, il ne sera pas perçu d’émolument (art. 87 al. 1 LPA). Il ne sera pas alloué d’indemnité de procédure, la recourante agissant sans le conseil d’un mandataire et n’y ayant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