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ATA/183/2013 vom 19. März 2013</w:t>
      </w:r>
    </w:p>
    <w:p>
      <w:r>
        <w:t>GE Cour de justice, 2013-03-19, FR</w:t>
      </w:r>
    </w:p>
    <w:p>
      <w:r>
        <w:rPr>
          <w:b/>
        </w:rPr>
        <w:t xml:space="preserve">Quelle: </w:t>
      </w:r>
      <w:r>
        <w:t>https://mcp.opencaselaw.ch/entscheid/ge_gerichte_ATA_183_2013</w:t>
      </w:r>
    </w:p>
    <w:p>
      <w:r>
        <w:t>FR: GE_GERICHTE ATA/183/2013 du 19 mars 2013</w:t>
      </w:r>
    </w:p>
    <w:p>
      <w:r>
        <w:t>IT: GE_GERICHTE ATA/183/2013 del 19 marzo 2013</w:t>
      </w:r>
    </w:p>
    <w:p>
      <w:pPr>
        <w:pStyle w:val="Heading2"/>
      </w:pPr>
      <w:r>
        <w:t>Regeste</w:t>
      </w:r>
    </w:p>
    <w:p>
      <w:r>
        <w:t>Résumé: Recourant placé en cellule forte durant cinq jours pour avoir été détenteur d'un objet prohibé (un téléphone portable). Le recourant conserve un intérêt juridique à l'examen de son recours, dès lors qu'il se trouve encore en détention et que la situation pourrait à nouveau se présenter. Le droit d'être entendu du recourant a bien été respecté. Au vu de l'ensemble des circonstances, il apparaît vraisemblable que le recourant ait bien été le détenteur du téléphone portable retrouvé en pièces détachées par un gardien en dessous de la fenêtre de sa cellule.</w:t>
      </w:r>
    </w:p>
    <w:p>
      <w:pPr>
        <w:pStyle w:val="Heading2"/>
      </w:pPr>
      <w:r>
        <w:t>Erwägungen</w:t>
      </w:r>
    </w:p>
    <w:p>
      <w:r>
        <w:rPr>
          <w:b/>
        </w:rPr>
        <w:t>E. 12</w:t>
      </w:r>
    </w:p>
    <w:p>
      <w:r>
        <w:t>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et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 ATA/759/2012 précité).</w:t>
      </w:r>
    </w:p>
    <w:p>
      <w:r>
        <w:t>e. Quand bien même le recourant a exécuté la mesure contestée, la situation pourrait se présenter à nouveau. Dès lors, la chambre administrative renoncera à</w:t>
      </w:r>
    </w:p>
    <w:p>
      <w:r>
        <w:t>- 6/10 - A/3553/2012 l'exigence de l'intérêt actuel pour statuer (ATA/759/2012 précité consid. 2e ; ATA/418/2012 précité ; ATA/266/2009 du 26 mai 2009). 3) a. Dans un grief d'ordre formel qu'il convient d'examiner liminairement (Arrêt du Tribunal fédéral 8C_449/2011 du 6 juin 2012 consid. 2.2.1 ; ATA/759/2012 précité consid. 3), le recourant se plaint que sa défense n'a pas été correctement assurée dans la mesure où il n'a pas été assisté d'un avocat.</w:t>
      </w:r>
    </w:p>
    <w:p>
      <w:r>
        <w:t>Sur la base de la jurisprudence de la Cour européenne des droits de l'homme (cf. not l'ACEDH Plathey c. France, req. n° 48'337/09, du 10 novembre 2011, § 62-66, dans laquelle un détenu avait été sanctionné de quarante-cinq jours de cellule disciplinaire pour avoir frappé un gardien et possédé un objet prohibé), on peut retenir en l'espèce que la sanction disciplinaire infligée à M. X______ ne tombait pas sous le coup du volet pénal de l'art. 6 de la Convention de sauvegarde des droits de l’homme et des libertés fondamentales du 4 novembre 1950 (CEDH - RS 0.101). En effet, outre que la sanction attaquée est neuf fois inférieure de par sa durée à celle examinée dans l'arrêt précité, le comportement incriminé n'était pas de nature pénale - la possession d'un téléphone portable n'étant pas punissable hors du contexte carcéral - et la sanction n'a pas eu pour effet de prolonger la détention de l'intéressé. L'art. 6 § 3 let. c CEDH ne trouvait dès lors pas application en l'espèce.</w:t>
      </w:r>
    </w:p>
    <w:p>
      <w:r>
        <w:t>Par ailleurs, le RRIP, et plus particulièrement son chapitre X intitulé : « Discipline et sanctions » est muet sur cette question. Il y a lieu d'interpréter ce silence comme étant la volonté du législateur de ne pas prévoir, de manière obligatoire et contrairement à ce que connaît la procédure pénale (art. 130 du code de procédure pénale suisse du 5 octobre 2007 - CPP - RS 312.0), l'assistance obligatoire d'un avocat pour ce genre de cas. De plus, il ne ressort pas des pièces figurant au dossier que le recourant aurait demandé à consulter un avocat, ni au cours de la procédure ayant conduit à la punition ni au cours de la présente procédure.</w:t>
      </w:r>
    </w:p>
    <w:p>
      <w:r>
        <w:t>Le grief sera donc écarté.</w:t>
      </w:r>
    </w:p>
    <w:p>
      <w:r>
        <w:t>b. Le recourant se plaint également du temps relativement court prévu pour qu'il exerce son droit d'être entendu.</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 1C_161/2010 du</w:t>
      </w:r>
    </w:p>
    <w:p>
      <w:r>
        <w:t>- 7/10 - A/3553/2012 21 octobre 2010 consid. 2.1 ; 5A_150/2010 du 20 mai 2010 consid. 4.3 ; ATA/156/2013 du 7 mars 2013 ; ATA/276/2012 du 8 mai 2012 consid. 2 et les arrêts cités et références citées).</w:t>
      </w:r>
    </w:p>
    <w:p>
      <w:r>
        <w:t>En l'espèce, il ressort de la décision de punition du 30 octobre 2012 que le recourant a été entendu à 17h45 sur les faits qui lui étaient reprochés et que la punition lui a été notifiée oralement cinq minutes plus tard. Certes, le temps qu'il a eu pour l'exercice de son droit d'être entendu peut être qualifié de bref, toutefois, celui-ci répond encore aux exigences découlant de l'art. 29 al. 2 Cst. telles qu'énoncées plus haut, aucune impossibilité de s'exprimer sur un des points précités n'ayant été invoquée.</w:t>
      </w:r>
    </w:p>
    <w:p>
      <w:r>
        <w:t>Le grief doit ainsi être lui aussi écarté. 4)</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E. POLTIER, Droit administratif, vol. 2, 3e éd., 2011, pp. 142 à 145 et la jurisprudence citée). 5)</w:t>
      </w:r>
    </w:p>
    <w:p>
      <w:r>
        <w:t>Le statut des personnes incarcérées à la prison est régi par le RRIP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observer une attitude correcte à l’égard du personnel de la prison (art. 44 RRIP). Il lui est notamment interdit de détenir d’autres objets que ceux qui leur sont remis et d’introduire ou de faire introduire dans l’établissement d’autres objets que ceux autorisés par le directeur (art. 45 let. e et f RRIP).</w:t>
      </w:r>
    </w:p>
    <w:p>
      <w:r>
        <w:t>- 8/10 - A/3553/2012 6)</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e) privation de travail ;</w:t>
      </w:r>
    </w:p>
    <w:p>
      <w:r>
        <w:t>f) placement en cellule forte pour cinq jours au plus (art. 47 al. 3 RRIP), étant précisé que ces sanctions peuvent se cumuler (art. 47 al. 4 RRIP). 7)</w:t>
      </w:r>
    </w:p>
    <w:p>
      <w:r>
        <w:t>En l'espèce, le rapport de M. Y______, de même que ses déclarations par-devant la chambre de céans démontrent que le recourant était bel et bien le détenteur du téléphone portable retrouvé en dessous de sa cellule. Le fait que les pièces du téléphone portable aient été retrouvées dans un petit périmètre de 30 cm sous sa cellule, renforce cette idée. De plus, et de par la configuration des étages « en escalier » munis de petits avant-toits, il n’est pas vraisemblable que les pièces, retrouvées peu éloignées les unes des autres, proviennent d'une cellule surplombant celle du recourant. Enfin, il est plausible que le recourant ait lui- même jeté les différentes pièces depuis sa fenêtre puisque celle-ci se trouve à environ 1,60 m du sol.</w:t>
      </w:r>
    </w:p>
    <w:p>
      <w:r>
        <w:t>Le recourant, pour avoir détenu un téléphone portable, objet interdit aux détenus, a ainsi contrevenu à l'art. 45 let. e et f RRIP. 8)</w:t>
      </w:r>
    </w:p>
    <w:p>
      <w:r>
        <w:t>La quotité de la sanction est justifiée par la gravité des actes dont le recourant s'est rendu coupable.</w:t>
      </w:r>
    </w:p>
    <w:p>
      <w:r>
        <w:t>En l'occurrence, la détention d'un téléphone portable en prison constitue une violation grave du RRIP dans la mesure où un tel moyen de communication permet le contact avec l'extérieur - et donc la réalisation d'un éventuel risque de collusion qu'entend justement éviter la détention préventive - et n'est pas un objet autorisé en prison ; dès lors, la sanction de cinq jours de cellule forte respecte le principe de proportionnalité. 9)</w:t>
      </w:r>
    </w:p>
    <w:p>
      <w:r>
        <w:t>Mal fondé, le recours sera rejeté.</w:t>
      </w:r>
    </w:p>
    <w:p>
      <w:r>
        <w:t>- 9/10 - A/3553/2012</w:t>
      </w:r>
    </w:p>
    <w:p>
      <w:r>
        <w:t>Vu la nature du litige, aucun émolument ne sera perçu, ni aucune indemnité de procédure allouée (art. 87 LPA ; art.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