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ATA/1821/2019 vom 17. Dezember 2019</w:t>
      </w:r>
    </w:p>
    <w:p>
      <w:r>
        <w:t>GE Cour de justice, 2019-12-17, FR</w:t>
      </w:r>
    </w:p>
    <w:p>
      <w:r>
        <w:rPr>
          <w:b/>
        </w:rPr>
        <w:t xml:space="preserve">Quelle: </w:t>
      </w:r>
      <w:r>
        <w:t>https://mcp.opencaselaw.ch/entscheid/ge_gerichte_ATA_1821_2019</w:t>
      </w:r>
    </w:p>
    <w:p>
      <w:r>
        <w:t>FR: GE_GERICHTE ATA/1821/2019 du 17 décembre 2019</w:t>
      </w:r>
    </w:p>
    <w:p>
      <w:r>
        <w:t>IT: GE_GERICHTE ATA/1821/2019 del 17 dicembre 2019</w:t>
      </w:r>
    </w:p>
    <w:p>
      <w:pPr>
        <w:pStyle w:val="Heading2"/>
      </w:pPr>
      <w:r>
        <w:t>Erwägungen</w:t>
      </w:r>
    </w:p>
    <w:p>
      <w:r>
        <w:rPr>
          <w:b/>
        </w:rPr>
        <w:t>E. 26</w:t>
      </w:r>
    </w:p>
    <w:p>
      <w:r>
        <w:t>septembre 2010 - LOJ - E 2 05 ; art. 62 al. 1 let. a de la loi sur la procédure administrative du 12 septembre 1985 - LPA - E 5 10). 2)</w:t>
      </w:r>
    </w:p>
    <w:p>
      <w:r>
        <w:t>Il convient de déterminer si M. B______ a la qualité pour recourir.</w:t>
      </w:r>
    </w:p>
    <w:p>
      <w:r>
        <w:t>a. Conformément à l'art. 60 al. 1 LPA, ont qualité pour recourir les parties à la procédure qui a abouti à la décision attaquée (let. a) et toute personne qui est touchée directement par une décision et a un intérêt personnel digne de protection à ce qu'elle soit annulée ou modifiée (let. b).</w:t>
      </w:r>
    </w:p>
    <w:p>
      <w:r>
        <w:t>Les let. a et b de cette disposition doivent se lire en parallèle. Ainsi, le particulier qui ne peut faire valoir un intérêt digne de protection ne saurait être admis comme partie recourante, même s'il était partie à la procédure de première instance (ATA/251/2018 du 20 mars 2018 consid. 2a et les arrêts cités).</w:t>
      </w:r>
    </w:p>
    <w:p>
      <w:r>
        <w:t>Cette notion de l'intérêt digne de protection est identique à celle qui a été développée par le Tribunal fédéral sur la base de l'art. 103 let. a de l'ancienne loi fédérale d'organisation judiciaire du 16 décembre 1943 (aOJ - RS 173.110) et correspond aux critères exposés à l'art. 89 al. 1 let. c de la loi sur le Tribunal fédéral du 17 juin 2005 (LTF - RS 173.110), en vigueur depuis le 1er janvier 2007. L'art. 89 al. 1 let. b LTF reprend la condition de l'intérêt direct et concret de manière plus stricte que l'art. 103 aOJ puisqu'il prévoit que le recourant doit être « particulièrement atteint » par l'acte attaqué, le législateur ayant estimé que « la pratique a parfois été trop généreuse dans la reconnaissance de la qualité pour agir de tiers » (ATF 135 II 145 consid. 6.1 ; 133 II 468 consid. 1).</w:t>
      </w:r>
    </w:p>
    <w:p>
      <w:r>
        <w:t>b. Selon la jurisprudence, le recourant doit être touché dans une mesure et une intensité plus grande que la généralité des administrés et l'intérêt invoqué, qui n'est pas nécessairement un intérêt juridiquement protégé mais qui peut être un intérêt de fait, doit se trouver, avec l'objet de la contestation, dans un rapport étroit, spécial et digne d'être pris en considération (ATF 138 II 162 consid. 2.1.2 ; 137 II 40 consid. 2.3 ; arrêt du Tribunal fédéral 1C_837/2013 du 11 avril 2014 consid. 1.1). Il faut donc que le recourant ait un intérêt pratique à l'admission du recours, c'est-à-dire que cette admission soit propre à lui procurer un avantage de nature économique, matérielle ou idéale (ATF 138 II 162 consid. 2.1.2 ; 137 II 30 consid. 2 ; ATA/425/2017 du 11 avril 2017 ; ATA/767/2016 du 13 septembre 2016). Tel n'est pas le cas de ce lui qui n'est atteint que de manière indirecte, médiate, ou encore « par ricochet » (ATA/552/2006 du 17 octobre 2006). Un intérêt seulement indirect à l'annulation ou à la modification de la décision</w:t>
      </w:r>
    </w:p>
    <w:p>
      <w:r>
        <w:t>- 6/11 - A/3166/2018 attaquée n'est donc pas suffisant (ATF 138 V 292 consid. 4 ; arrêt du Tribunal fédéral 1C_665/2013 du 24 mars 2014 consid. 3.1).</w:t>
      </w:r>
    </w:p>
    <w:p>
      <w:r>
        <w:t>« Un intérêt digne de protection existe lorsque deux conditions sont remplies : l’existence d’un rapport de connexité avec l’objet du litige et l’actualité […] La condition matérielle du lien suffisant avec l’objet du litige est réalisée si l’intérêt présente trois caractéristiques cumulatives : il est personnel direct et spécial. […] L’intérêt est direct si le recourant se trouve dans un rapport suffisamment étroit avec la décision, ce qui n’est pas le cas de celui qui n’est atteint que de manière indirecte ou médiate. […] Le lien de connexité est clair lorsque le recourant est l’un des destinataires de la décision. S’il s’agit d’un tiers, il devra démontrer l’existence d’une communauté de fait entre ses intérêts et ceux du destinataire. […] Enfin, l’exigence de spécialité implique que l’intérêt en cause est distinct de celui des autres membres de la collectivité publique en cause. Tel sera le cas si les recourants sont touchés dans leurs intérêts de fait ou de droit dans une mesure supérieure et avec une intensité supérieure que les autres personnes […] En second lieu, l’intérêt doit remplir une condition temporelle : être actuel. Il faut que le recours permette d’empêcher l’atteinte de se produire ou de perdurer » (François BELLANGER, La qualité de partie à la procédure administrative in : Les tiers dans la procédure administrative, Journée de droit administratif 2003, Genève 2004, p. 44 et 45 ; ATA/656/2007 du 18 décembre 2007).</w:t>
      </w:r>
    </w:p>
    <w:p>
      <w:r>
        <w:t>c. En l'espèce, l'intéressé n'était pas partie à la procédure non contentieuse devant le PCTN et la décision dont est recours ne lui a pas été adressée. Il n'est pas directement visé par la décision de refus de restitution de la taxe unique, objet de la présente procédure. En effet, cette dernière est fondée sur l'aLTaxis et sur la LTVTC, qui ont pour but la réglementation, notamment, des professions de chauffeur de taxi et la promotion d'un service public efficace et de qualité ainsi que de garantir que l’activité des transporteurs est conforme à diverses exigences, en particulier de la sécurité publique et de l’ordre public ; or, l'intéressé n'est pas chauffeur de taxi et n'est donc pas directement visé par le champ de protection desdites lois et, dans ce sens, ne peut s'en prévaloir pour conclure à un quelconque droit. Il doit ainsi être considéré comme atteint de manière indirecte. En conséquence, faute d'intérêt direct et concret, la qualité pour recourir doit lui être déniée ce qui entraîne l'irrecevabilité de son recours.</w:t>
      </w:r>
    </w:p>
    <w:p>
      <w:r>
        <w:t>Par conséquent, seul le recours de M. A______ (ci-après : le recourant) sera examiné sur le fond. 3)</w:t>
      </w:r>
    </w:p>
    <w:p>
      <w:r>
        <w:t>Le 1er juillet 2017 sont entrés en vigueur la LTVTC et le RTVTC qui ont abrogé respectivement la LTaxis et son règlement d'exécution du 4 mai 2005 (RTaxis - H 1 30.01 ; art. 40 LTVTC et 53 RTVTC). 4)</w:t>
      </w:r>
    </w:p>
    <w:p>
      <w:r>
        <w:t>Tout exploitant de taxi ou toute entreprise de taxis qui a payé une taxe unique pour obtenir un permis de service public au sens de la loi sur les taxis et</w:t>
      </w:r>
    </w:p>
    <w:p>
      <w:r>
        <w:t>- 7/11 - A/3166/2018 limousines, du 21 janvier 2005, a le droit de percevoir un montant compensatoire égal, en valeur nominale, au montant de la taxe unique qu'il a effectivement payée, déduction faite des éventuels remboursements partiels déjà effectués par le département (art. 46 al. 3 LTVTC).</w:t>
      </w:r>
    </w:p>
    <w:p>
      <w:r>
        <w:t>La perception du montant compensatoire aux conditions de l'al. 3 nécessite de la part du requérant le dépôt d'une demande écrite auprès du département, au plus tard dans les trois ans après l'entrée en vigueur de la présente loi, sous peine de péremption. Il appartient au requérant d'apporter tous les éléments de preuve permettant de déterminer la quotité de la taxe unique payée. Le paiement du montant compensatoire s'opère dans un délai de douze mois suivant la date du dépôt de la requête (art. 46 al. 4 LTVTC). 5)</w:t>
      </w:r>
    </w:p>
    <w:p>
      <w:r>
        <w:t>L'art. 24 aLTaxis prévoyait à son al. 1 que le conjoint survivant ou un héritier de la première parentèle d'une personne physique titulaire d'un permis de service public devenait titulaire de ce permis, s'il le requérait, pour autant qu'il dispose d'une carte professionnelle au sens des art. 6 ou 8 ou qu'il soit titulaire d'une autorisation d'exploiter un taxi ou une entreprise de taxis au sens des art. 11 ou 12 aLTaxis lors de l'ouverture de la succession. 6) a. La loi s'interprète en premier lieu selon sa lettre (interprétation littérale). Si le texte n'est pas absolument clair, si plusieurs interprétations de celui-ci sont possibles, le juge recherchera la véritable portée de la norme au regard notamment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Appelé à interpréter une loi, le juge ne privilégie aucune de ces méthodes, mais s'inspire d'un pluralisme pragmatique (ATF 139 IV 270 consid. 2.2).</w:t>
      </w:r>
    </w:p>
    <w:p>
      <w:r>
        <w:t>b. Le juge est en principe lié par un texte clair et sans équivoque. Ce principe n'est toutefois pas absolu, dès lors que le texte d'une norme peut ne pas correspondre à son sens véritable. L'autorité qui applique le droit ne peut ainsi s'en écarter que s'il existe des motifs sérieux de penser que sa lettre ne correspond pas en tous points au sens véritable de la disposition visée. De tels motifs sérieux peuvent résulter des travaux préparatoires, du fondement et du but de la prescription en cause, de même que de sa relation avec d'autres dispositions (ATF 138 II 557 consid. 7.1). En dehors du cadre ainsi défini, des considérations fondées sur le droit désirable ne permettent pas de s'écarter du texte clair de la loi, surtout si elle est récente (ATF 118 II 333 consid. 3e). Le juge ne se fonde sur la compréhension littérale du texte que s'il en découle sans ambiguïté une solution matériellement juste (ATF 142 II 388 consid. 9.6.1). Enfin, si plusieurs interprétations sont admissibles, il faut choisir celle qui est conforme à la Constitution (ATF 144 III 58 consid. 4.1.3.1).</w:t>
      </w:r>
    </w:p>
    <w:p>
      <w:r>
        <w:t>- 8/11 - A/3166/2018</w:t>
      </w:r>
    </w:p>
    <w:p>
      <w:r>
        <w:t>c. S’agissant plus spécialement des travaux préparatoires, bien qu’ils ne soient pas directement déterminants pour l’interprétation et ne lient pas le juge, ils ne sont pas dénués d’intérêt et peuvent s’avérer utiles pour dégager le sens d’une norme. En effet, ils révèlent la volonté du législateur, laquelle demeure, avec les jugements de valeur qui la sous-tendent, un élément décisif dont le juge ne saurait faire abstraction même dans le cadre d’une interprétation téléologique (ATF 119 II 183 consid. 4b ; 117 II 494 consid. 6a ; ATA/213/2017 du 21 février 2017). Les travaux préparatoires ne seront toutefois pris en considération que s’ils donnent une réponse claire à une disposition légale ambiguë et qu’ils ont trouvé expression dans le texte de la loi (ATF 124 III 126 consid. 1b ; arrêt du Tribunal fédéral 2C_939/2011 du 7 août 2012 consid. 4). 7)</w:t>
      </w:r>
    </w:p>
    <w:p>
      <w:r>
        <w:t>Une décision est arbitraire au sens de l'art. 9 Cst.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 138 I 49 consid. 7.1 ; 137 I 1 consid. 2.4 ; 136 I 316 consid. 2.2.2). La chambre administrative suit le raisonnement du Tribunal fédéral en la matière (ATA/1189/2017 du 22 août 2017 consid. 4c et les références citées).</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I 195 consid. 6.1 ; arrêt du Tribunal fédéral 8C_310/2017 du 14 mai 2018 consid. 6.2). 8)</w:t>
      </w:r>
    </w:p>
    <w:p>
      <w:r>
        <w:t>En l'espèce, le litige porte sur la restitution au recourant du montant payé par feu son père, à titre de taxe unique selon l'art. 46 al. 3 LTVTC, dans le cadre d'un permis acquis par succession.</w:t>
      </w:r>
    </w:p>
    <w:p>
      <w:r>
        <w:t>- 9/11 - A/3166/2018</w:t>
      </w:r>
    </w:p>
    <w:p>
      <w:r>
        <w:t>a. Le texte de l'art. 46 al. 3 LTVTC ne mentionne pas la question de la restitution, selon le droit transitoire, du montant payé au titre de la taxe unique en cas d'obtention du permis par succession. En revanche, « l'exploitant de taxi qui a payé une taxe unique pour obtenir un permis de service public » au sens de l'aLTaxis a droit de percevoir un montant compensatoire. Cette disposition est claire et ne laisse pas de marge de manœuvre à l'autorité. Si les conditions ne sont pas remplies, l'exploitant ne peut percevoir de montant compensatoire tandis que l'autorité doit verser le montant dans le cas contraire.</w:t>
      </w:r>
    </w:p>
    <w:p>
      <w:r>
        <w:t>b. Le recourant n'a pas payé de taxe unique pour obtenir son permis, ayant hérité de celui-ci sur la base de l'art. 24 al. 1 aLTaxis. À teneur des travaux préparatoires, l'art. 46 al. 3 LTVTC visait à assurer l'égalité de traitement entre les titulaires de permis de service public avant l'entrée en vigueur de la loi ainsi que les titulaires de bail à ferme ou les employés d'entreprises de taxi (MGC [En ligne], séance 43 du 13 octobre 2016, à 17h, disponible sur https://ge.ch/grandconseil/m/memorial/seances/010308/43/5/). Le rapport de la commission des transports chargée d'étudier le projet de loi du Conseil d'État sur les taxis et les voitures de transport avec chauffeur (LTVTC) précise d'ailleurs spécifiquement que la LTVTC modifiait le système mis en place « (…) en remboursant les chauffeurs ayant contribué au fonds de taxis, de manière à garantir une égalité de traitement. » (Rapport de la commission des transports chargée d'étudier le projet de loi du Conseil d'État sur les taxis et les voitures de transport avec chauffeur - LTVTC -, PL 11709-A et PL 11710-A, p. 346).</w:t>
      </w:r>
    </w:p>
    <w:p>
      <w:r>
        <w:t>c. Dans un arrêt très récent (ATA/1749/2019 du 3 décembre 2019), la chambre administrative a jugé que la lecture de la loi et des travaux préparatoires ne permettait pas de déduire que l'art. 46 al. 3 LTVTC, qui ne concernait que les chauffeurs ayant payé personnellement la taxe unique, soit applicable aux exploitants ayant obtenu leur permis par succession.</w:t>
      </w:r>
    </w:p>
    <w:p>
      <w:r>
        <w:t>De plus, comme l'a également retenu la jurisprudence susvisée, accorder au recourant la restitution du montant payé par son père, dès lors qu'il a obtenu son permis par succession, gratuitement, ne respecterait pas l'égalité de traitement avec les autres chauffeurs ayant, eux, acquis leur permis à titre onéreux. En effet, cela reviendrait à favoriser les exploitants de taxi ayant obtenu le permis par succession, sans paiement de taxe unique, au détriment des chauffeurs ayant quant à eux obtenu le permis à titre onéreux. Le but de l'art. 46 al. 3 LTVTC ne vise qu'à garantir l'égalité de traitement entre les exploitants de taxi ayant dû payer une taxe unique selon l'aLTaxis et les autres, lors de l'entrée en vigueur de la LTVTC. Les travaux préparatoires précisent bien que dans l'esprit de la loi, cet article ne vise qu'à permettre de « rembourser », lors de l'entrée en vigueur de la LTVTC, les chauffeurs ayant contribué au fonds de taxi selon l'aLTaxis. En effet, la LTVTC modifie intégralement le système mis en place, en supprimant la notion de permis de service public, remplacé par une taxe annuelle et en supprimant également le</w:t>
      </w:r>
    </w:p>
    <w:p>
      <w:r>
        <w:t>- 10/11 - A/3166/2018 fonds de taxi (Rapport de la commission des transports chargée d'étudier le projet de loi du Conseil d'État sur les taxis et les voitures de transport avec chauffeur - LTVTC -, PL 11709-A et PL 11710-A, p. 346 ; ATA).</w:t>
      </w:r>
    </w:p>
    <w:p>
      <w:r>
        <w:t>d. Cette interprétation est soutenue par la lecture de l'art. 47 al. 4 LTVTC, qui prévoit que la cession de l'autorisation (que celle-ci ait lieu à titre gracieux ou non) éteint définitivement toute prétention, du cédant comme du cessionnaire, au paiement du montant compensatoire de la taxe unique au sens de la loi sur les taxis et limousines, du 21 janvier 2005.</w:t>
      </w:r>
    </w:p>
    <w:p>
      <w:r>
        <w:t>Le recours sera ainsi rejeté et la décision querellée confirmée. 9)</w:t>
      </w:r>
    </w:p>
    <w:p>
      <w:r>
        <w:t>Vu ce qui précède, un émolument de CHF 500.- sera mis à la charge solidaire des recourants, qui succombent (art. 87 al.1 LPA), et aucune indemnité de procédure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