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ATA/181/2019 vom 26. Februar 2019</w:t>
      </w:r>
    </w:p>
    <w:p>
      <w:r>
        <w:t>GE Cour de justice, 2019-02-26, FR</w:t>
      </w:r>
    </w:p>
    <w:p>
      <w:r>
        <w:rPr>
          <w:b/>
        </w:rPr>
        <w:t xml:space="preserve">Quelle: </w:t>
      </w:r>
      <w:r>
        <w:t>https://mcp.opencaselaw.ch/entscheid/ge_gerichte_ATA_181_2019</w:t>
      </w:r>
    </w:p>
    <w:p>
      <w:r>
        <w:t>FR: GE_GERICHTE ATA/181/2019 du 26 février 2019</w:t>
      </w:r>
    </w:p>
    <w:p>
      <w:r>
        <w:t>IT: GE_GERICHTE ATA/181/2019 del 26 febbraio 2019</w:t>
      </w:r>
    </w:p>
    <w:p>
      <w:pPr>
        <w:pStyle w:val="Heading2"/>
      </w:pPr>
      <w:r>
        <w:t>Regeste</w:t>
      </w:r>
    </w:p>
    <w:p>
      <w:r>
        <w:t>Résumé: La décision de refus d'octroi d'une autorisation de séjour au titre du regroupement familial au recourant d'origine irakienne auprès de son père doit être confirmée. Une première demande a été formée, puis retirée, avant qu'une seconde demande ne soit introduite. Or, la seconde demande a été formée alors que le recourant était majeur, de sorte qu'il ne remplit plus les conditions de base pour obtenir le regroupement familial. Il en va de même sous l'angle de 8 CEDH. Les conditions du cas de rigueur ne sont pas remplies et l'exécution de son renvoi en Irak est possible, licite et exigible, compte tenu notamment de la région d'où il est originaire et l'ethnie à laquelle il appartient.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l'OCPM d'accorder au recourant une autorisation de séjour pour regroupement familial avec son père, respectivement pour cas de rigueur.</w:t>
      </w:r>
    </w:p>
    <w:p>
      <w:r>
        <w:rPr>
          <w:b/>
        </w:rPr>
        <w:t>E. 3</w:t>
      </w:r>
    </w:p>
    <w:p>
      <w:r>
        <w:t>a. À titre préalable, le recourant sollicite son audition et celle de son père.</w:t>
      </w:r>
    </w:p>
    <w:p>
      <w:r>
        <w:t>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 17 janvier 2019 consid. 4.1), ni celui d’obtenir l’audition de témoins (ATF 130 II 425 consid. 2.1).</w:t>
      </w:r>
    </w:p>
    <w:p>
      <w:r>
        <w:t>d. En l'occurrence, le recourant n'indique pas pour quelles raisons l'audition de son père serait nécessaire à la résolution du présent litige. S'agissant de sa propre audition, qu'il sollicite notamment pour clarifier les propos tenus lors de son audition par le SEM en 2015 et exposer les circonstances justifiant qu'il soit autorisé à demeurer en Suisse, la chambre administrative considère qu’elle dispose des éléments nécessaires pour statuer sans y donner suite. Le recourant, qui a eu l’occasion de se déterminer par écrit devant la juridiction de céans au moyen de deux écritures, a déjà longuement exposé les motifs de sa venue en</w:t>
      </w:r>
    </w:p>
    <w:p>
      <w:r>
        <w:t>- 16/30 - A/1668/2017 Suisse et les raisons qui commanderaient, selon lui, qu'une autorisation de séjour lui soit délivrée. Les actes d'instruction sollicités seront dès lors écartés.</w:t>
      </w:r>
    </w:p>
    <w:p>
      <w:r>
        <w:rPr>
          <w:b/>
        </w:rPr>
        <w:t>E. 4</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5</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d'Irak.</w:t>
      </w:r>
    </w:p>
    <w:p>
      <w:r>
        <w:rPr>
          <w:b/>
        </w:rPr>
        <w:t>E. 7</w:t>
      </w:r>
    </w:p>
    <w:p>
      <w:r>
        <w:t>a. Aux termes de l’art. 44 LEI, l’autorité compétente peut octroyer une autorisation de séjour aux enfants célibataires étrangers de moins de dix-huit ans du titulaire d’une autorisation de séjour s’ils vivent en ménage commun avec lui, disposent d’un logement approprié et ne dépendent pas de l’aide sociale. Cette disposition ne confère pas un droit au regroupement familial (ATF 137 I 284 consid. 1.2).</w:t>
      </w:r>
    </w:p>
    <w:p>
      <w:r>
        <w:t>Il s'agit des conditions de base qui doivent impérativement être remplies pour qu'une autorisation de séjour puisse être accordée dans ce cadre, l'examen du respect des autres conditions n'intervenant qu'une fois que ces conditions de base</w:t>
      </w:r>
    </w:p>
    <w:p>
      <w:r>
        <w:t>- 17/30 - A/1668/2017 sont réalisées (arrêt du TAF F-7533/2016 du 10 janvier 2018 consid. 5.2 et les références citées).</w:t>
      </w:r>
    </w:p>
    <w:p>
      <w:r>
        <w:t>b. Le regroupement familial doit être demandé dans les cinq ans. Pour les enfants de plus de douze ans, le regroupement doit intervenir dans un délai de douze mois (art. 47 al. 1 LEI et 73 al. 1 OASA). Pour les membres de la famille d’étrangers, les délais commencent à courir lors de l’octroi de l’autorisation de séjour ou d’établissement ou lors de l’établissement du lien familial (art. 47 al. 3 let. b LEI et 73 al. 2 OASA). Passé ce délai, le regroupement familial différé n'est autorisé que pour des raisons familiales majeures. Si nécessaire, les enfants de plus de 14 ans sont entendus (art. 47 al. 4 LEI et 73 al. 3 OASA).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consid. 4a et les références citées).</w:t>
      </w:r>
    </w:p>
    <w:p>
      <w:r>
        <w:t>Les délais prévus à l'art. 47 al. 1 LEI commencent à courir à l'entrée en vigueur de la LEI, soit le 1er janvier 2008, dans la mesure où l'entrée en Suisse ou l'établissement du lien familial sont antérieurs à cette date (art. 126 al. 3 LEI).</w:t>
      </w:r>
    </w:p>
    <w:p>
      <w:r>
        <w:t>Le moment déterminant du point de vue de l’âge comme condition du droit au regroupement familial en faveur d’un enfant (art. 42 ss LEI) est celui du dépôt de la demande (ATF 136 II 497 consid. 3.7 ; arrêts du Tribunal fédéral 2C_409/2018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Directives du SEM, domaine des étrangers, 2013, état au 1er janvier 2019, n. 6.10 [ci-après : directives SEM]).</w:t>
      </w:r>
    </w:p>
    <w:p>
      <w:r>
        <w:t>c.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w:t>
      </w:r>
    </w:p>
    <w:p>
      <w:r>
        <w:t>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ATA/1211/2017 du 22 août 2017 consid. 8).</w:t>
      </w:r>
    </w:p>
    <w:p>
      <w:r>
        <w:t>- 18/30 - A/1668/2017</w:t>
      </w:r>
    </w:p>
    <w:p>
      <w:r>
        <w:t>e. En l'espèce, il n'est pas contesté que M. B______ a obtenu une autorisation de séjour (permis B) le 15 octobre 2007. La LEI étant toutefois entrée en vigueur le 1er janvier 2008, c'est à partir de cette date que les délais pour solliciter le regroupement familial ont commencé à courir. Le délai général de cinq ans pour les demandes en faveur des enfants de moins de 12 ans est ainsi arrivé à échéance le 31 décembre 2012.</w:t>
      </w:r>
    </w:p>
    <w:p>
      <w:r>
        <w:t>Le recourant est né le 1er janvier 1993, de sorte qu'il a atteint l'âge de</w:t>
      </w:r>
    </w:p>
    <w:p>
      <w:r>
        <w:rPr>
          <w:b/>
        </w:rPr>
        <w:t>E. 12</w:t>
      </w:r>
    </w:p>
    <w:p>
      <w:r>
        <w:t>Le recourant considère que sa situation relèverait d'un cas de rigueur.</w:t>
      </w:r>
    </w:p>
    <w:p>
      <w:r>
        <w:rPr>
          <w:b/>
        </w:rPr>
        <w:t>E. 13</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w:t>
      </w:r>
    </w:p>
    <w:p>
      <w:r>
        <w:t>- 23/30 - A/1668/2017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SEM, op. cit., ch. 5.6.10).</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w:t>
      </w:r>
    </w:p>
    <w:p>
      <w:r>
        <w:t>- 24/30 - A/1668/2017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ATA/38/2019 précité consid. 4d).</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14</w:t>
      </w:r>
    </w:p>
    <w:p>
      <w:r>
        <w:t>En l'occurrence, le recourant, actuellement âgé de 26 ans, est arrivé en Suisse en septembre 2015, à l'âge de 22 ans, sans en avoir l’autorisation, et y</w:t>
      </w:r>
    </w:p>
    <w:p>
      <w:r>
        <w:t>- 25/30 - A/1668/2017 séjourne depuis lors sans titre de séjour mais au bénéfice d'une simple tolérance, en raison de l'effet suspensif attaché à son recours. La durée de son séjour, de trois ans et cinq mois, ne saurait ainsi être qualifiée de longue.</w:t>
      </w:r>
    </w:p>
    <w:p>
      <w:r>
        <w:t>Si le recourant a effectivement bénéficié de prestations de l'hospice peu après son arrivée, le montant minime qui lui a été versé, soit CHF 336.90, ne saurait permettre de retenir à sa charge qu'il a dépendu de l'aide sociale. Il n'apparaît par ailleurs pas qu'il aurait commis des infractions en Suisse ni qu'il ferait l'objet de poursuites. En revanche, il ne saurait être considéré que le recourant serait intégré, un tant soit peu, socialement et professionnellement. Si le recourant allègue suivre des cours des français, il n'a produit aucun document permettant de corroborer ses dires. S'il a effectivement produit une attestation une promesse d’embauche de la société J______ pour un poste d’aide de cuisine à temps plein, il n'apparaît pas qu'il ait entrepris quoi ce que ce soit pour concrétiser cet emploi, aucune demande d'autorisation pour activité lucrative ne figurant au dossier, alors même que l'intimé a expressément indiqué dans ses observations du 2 novembre 2017 qu'il était autorisé à exercer une activité lucrative temporaire. Outre le fait que ses parents et deux de ses frères y vivent, le recourant ne prétend pas non plus avoir d'attaches particulières en Suisse.</w:t>
      </w:r>
    </w:p>
    <w:p>
      <w:r>
        <w:t>Enfin, contrairement à ce qu'il allègue, les éléments au dossier ne démontrent pas que sa réintégration sociale et professionnelle en Irak serait fortement compromise. Arrivé en Suisse à l'âge de 22 ans, il a vécu toute son enfance et son adolescence, périodes décisives pour la formation de la personnalité, dans son pays d'origine, dont il parle la langue  alors que rien n'indique qu'il parlerait le français  et en connaît les us et coutumes. Il a effectué toute sa scolarité en Irak et y a travaillé entre 2008 et 2015 en qualité d'ouvrier. À cela s'ajoute que le recourant est jeune, sans charge de famille ni problème de santé avéré et apte à travailler. S'il est vrai que deux de ses frères et ses parents vivent désormais en Suisse, sa sœur vit toujours en Irak. Son frère cadet, M. E______, dont le refus d'octroi d'une autorisation de séjour et le renvoi ont également été confirmés, devra également repartir en Irak, de sorte qu'il bénéficiera de la présence de membres de sa famille auprès de lui. Son père pourra au demeurant l'aider financièrement, dans un premier temps, le temps qu'il s'y réintègre. Ainsi, en dépit de difficultés initiales qu'il pourrait rencontrer à son retour en Irak, il ne peut être considéré que sa réintégration dans le pays dans lequel il a toujours vécu et qu'il n'a quitté que trois ans et demi serait gravement compromise.</w:t>
      </w:r>
    </w:p>
    <w:p>
      <w:r>
        <w:t>Au vu de ce qui précède, l’OCPM n'a pas abusé de son pouvoir d'appréciation en refusant au recourant une autorisation de séjour, tant au titre du regroupement familial que du cas de rigueur, ce que le TAPI a, à juste titre, confirmé.</w:t>
      </w:r>
    </w:p>
    <w:p>
      <w:r>
        <w:t>- 26/30 - A/1668/2017</w:t>
      </w:r>
    </w:p>
    <w:p>
      <w:r>
        <w:rPr>
          <w:b/>
        </w:rPr>
        <w:t>E. 15</w:t>
      </w:r>
    </w:p>
    <w:p>
      <w:r>
        <w:t>Il reste à examiner si le retour du recourant dans son pays d’origine est possible, licite et raisonnablement exigible, ce que ce dernier conteste compte tenu de la situation de guerre civil qui règne en Irak et l'absence de réseau social sur place.</w:t>
      </w:r>
    </w:p>
    <w:p>
      <w:r>
        <w:t>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 L’exécution du renvoi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nécessité médicale (art. 83 al. 4 LEI).</w:t>
      </w:r>
    </w:p>
    <w:p>
      <w:r>
        <w:t>b. Selon l’art. 83 al. 1 LEI, le SEM décide d’admettre provisoirement l’étranger si l’exécution du renvoi ou de l’expulsion n’est pas possible, n’est pas licite ou ne peut être raisonnablement exigée.</w:t>
      </w:r>
    </w:p>
    <w:p>
      <w:r>
        <w:t>Les étrangers au bénéfice d'une admission provisoire en Suisse bénéficient d'un statut précaire qui assure leur présence en Suisse aussi longtemps que l'exécution du renvoi n'est pas possible, n'est pas licite ou ne peut être raisonnablement exigée (ATF 141 I 49 consid. 3.5 ; 138 I 246 consid. 2.3). L'admission provisoire coexiste avec la mesure de renvoi entrée en force. Elle n'équivaut pas à une autorisation de séjour, mais fonde un statut provisoire tant que l'exécution de son renvoi apparaît comme impossible, illicite ou non raisonnablement exigible (ATF 141 I 49 consid. 3.5 ; 138 I 246 consid. 2.3 ; 137 II 305 consid. 3.1). L'admission provisoire peut être proposée par les autorités cantonales (art. 83 al. 6 LEI).</w:t>
      </w:r>
    </w:p>
    <w:p>
      <w:r>
        <w:t>c. L'illicéité du renvoi est en particulier réalisée lorsque l'étranger est exposé à un véritable risque concret et sérieux d'être victime, en cas de retour dans son pays, à un traitement prohibé par l’art. 3 CEDH ou l’art. 3 de la Convention du 10 décembre 1984 contre la torture et autres peines ou traitements cruels, inhumains ou dégradants (Conv. torture - RS 0.105 ; arrêt du TAF E-7712/2008 du 19 avril 2011 consid. 6.1 ; ATAF 2011/24 consid. 10.4.1 et les arrêts du TAF D-4186/2012 du 6 janvier 2015 consid. 8 ; E-7981/2009 du 25 avril 2012 consid. 11).</w:t>
      </w:r>
    </w:p>
    <w:p>
      <w:r>
        <w:t>d. L’art. 83 al. 4 LEI s'applique en premier lieu aux « réfugiés de la violence », soit aux étrangers qui ne remplissent pas les conditions de la qualité de réfugié</w:t>
      </w:r>
    </w:p>
    <w:p>
      <w:r>
        <w:t>- 27/30 - A/1668/2017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 arrêts du TAF E-4024/2017 du 6 avril 2018 consid. 10 ; D-6827/2010 du 2 mai 2011 consid. 8.2 ; ATA/801/2018 du 7 août 2018 consid. 10d).</w:t>
      </w:r>
    </w:p>
    <w:p>
      <w:r>
        <w:t>e. Dans des arrêts très récents, le TAF a plusieurs fois relevé que les autorités du Kurdistan irakien avaient non seulement la volonté, mais aussi la possibilité de protéger les habitants de cette région, en particulier ceux d'ethnie kurde, que les provinces de Dohuk, Erbil, Sulaymaniya et Halabja n'étaient pas en proie à des violences généralisées et ne connaissaient pas une situation politique tendue au point qu'elle rendrait, de manière générale, inexigible l'exécution du renvoi, qu'à l'heure actuelle, en dépit de la profonde crise politique et économique à laquelle la région autonome kurde d'Irak est confrontée (notamment suite au référendum sur l'indépendance du Kurdistan du 25 septembre 2017, organisé unilatéralement contre l'avis de Bagdad, de l'Iran, de la Turquie et de la majeure partie de la communauté internationale), les violences y demeuraient relativement limitées et que l'exécution du renvoi est en principe exigible pour les requérants, d'ethnie kurde, originaires de l'une de ces provinces ou y ayant vécu durant une longue période et y disposant d'un réseau social (famille, parenté ou amis) ou de liens avec les partis dominants ; qu'il convient toutefois de faire preuve d'une retenue particulière en présence de familles avec enfants, de femmes seules ne bénéficiant pas d'une formation professionnelle adéquate et de personnes malades (arrêts du TAF D-7201/2018 du 4 février 2019 et les références citées ; D-4406/2018 du 9 janvier 2019 consid. 8.3 et 8.4 ; D-6566/2018 du 3 décembre 2018 ; E-4026/2018 du 14 novembre 2018).</w:t>
      </w:r>
    </w:p>
    <w:p>
      <w:r>
        <w:t>Par ailleurs, dans un arrêt analysant les défaites de l'EI en Irak, le TAF a notamment relevé que même s'il ne pouvait pas être totalement exclu que ladite organisation commette encore des attaques ponctuelles en Irak, il n'en demeurait pas moins que cette organisation terroriste n'y contrôlait plus aucun territoire (arrêt du TAF D-1257/2015 du 29 mars 2018 consid. 5.2.2 et 5.2.3 notamment).</w:t>
      </w:r>
    </w:p>
    <w:p>
      <w:r>
        <w:t>- 28/30 - A/1668/2017</w:t>
      </w:r>
    </w:p>
    <w:p>
      <w:r>
        <w:rPr>
          <w:b/>
        </w:rPr>
        <w:t>E. 16</w:t>
      </w:r>
    </w:p>
    <w:p>
      <w:r>
        <w:t>En l'espèce, il ne ressort pas du dossier que le recourant pourrait être mis concrètement en danger pour des motifs qui lui seraient propres. Il est d'ethnie kurde, de religion musulmane et originaire de Zakho, dans la province de Dohuk, où il a vécu jusqu'à son arrivée en Suisse il y a un peu plus de trois ans. Son dossier ne fait pas non plus ressortir qu'il ait critiqué les institutions, les élites ou les partis majoritaires, celui-ci ayant déclaré lors de son audition par le SEM n'avoir jamais eu de problèmes dans son pays d'origine. Le recourant a pour la toute première fois fait valoir dans le cadre de sa réplique du 8 décembre 2017 que sa famille serait affiliée au parti kurde « PDK » et que la région dont il était originaire n'était pas stable pour lui. Cet élément, évoqué très tardivement, n'est toutefois pas prouvé. Le recourant n'expose par ailleurs pas en quoi sa prétendue appartenance au PDK l'exposerait à des violences, alors même que la jurisprudence précitée retient que les autorités du Kurdistan irakien ont non seulement la volonté, mais aussi la possibilité de protéger les habitants d'ethnie kurde provenant notamment de la province de Dohuk. Ces craintes quant aux attentats perpétrés par l'EI ne justifient par ailleurs pas son admission provisoire dès lors qu'il ressort de la jurisprudence précitée que cette organisation n'y contrôle plus aucun territoire. À cela s'ajoute que le recourant est jeune, sans charge de famille ni problème de santé avéré et apte à travailler, étant précisé qu'il a travaillé huit ans en Irak avant d'arriver en Suisse. Comme susmentionné, sa sœur y vit toujours et son frère cadet, dont le renvoi a également été confirmé, devra également repartir en Irak. Il est par ailleurs probable que le recourant dispose d'autres membres éloignés de sa famille dans son pays d'origine. Ayant par ailleurs étudié puis travaillé en Irak jusqu'à son départ en 2015 à l'âge de 22 ans, il a dû se créer, par le passé, un réseau social qu'il lui sera loisible, le cas échéant, de réactiver, soit autant de facteurs qui devraient lui permettre de se réinstaller dans son pays d'origine.</w:t>
      </w:r>
    </w:p>
    <w:p>
      <w:r>
        <w:t>Ces éléments permettent de conclure que le renvoi du recourant est possible, licite et raisonnablement exigible.</w:t>
      </w:r>
    </w:p>
    <w:p>
      <w:r>
        <w:t>Au vu de ce qui précède, le recours sera rejeté.</w:t>
      </w:r>
    </w:p>
    <w:p>
      <w:r>
        <w:rPr>
          <w:b/>
        </w:rPr>
        <w:t>E. 17</w:t>
      </w:r>
    </w:p>
    <w:p>
      <w:r>
        <w:t>Le recourant plaidant au bénéfice de l’assistance juridique, il ne sera pas perçu de frais. Vu l’issue du litige,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