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ATA/17/2024 vom 9. Januar 2024</w:t>
      </w:r>
    </w:p>
    <w:p>
      <w:r>
        <w:t>GE Cour de justice, 2024-01-09, FR</w:t>
      </w:r>
    </w:p>
    <w:p>
      <w:r>
        <w:rPr>
          <w:b/>
        </w:rPr>
        <w:t xml:space="preserve">Quelle: </w:t>
      </w:r>
      <w:r>
        <w:t>https://mcp.opencaselaw.ch/entscheid/ge_gerichte_ATA_17_2024</w:t>
      </w:r>
    </w:p>
    <w:p>
      <w:r>
        <w:t>FR: GE_GERICHTE ATA/17/2024 du 9 janvier 2024</w:t>
      </w:r>
    </w:p>
    <w:p>
      <w:r>
        <w:t>IT: GE_GERICHTE ATA/17/2024 del 9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n’a pas repris ses conclusions en audition de témoins devant la chambre de céans. En tous les cas, il n’a pas précisé ni sur quels faits les trois personnes auraient dû être entendues, ni son lien avec chacune d’entre elles, étant rappelé qu’elles ont le même nom de famille que l’intéressé et n’auraient probablement pu être entendues qu’à titre de renseignement (art. 31 LPA).</w:t>
      </w:r>
    </w:p>
    <w:p>
      <w:r>
        <w:t>- 6/14 - A/834/2023 3. Le 1er janvier 2019 est entrée en vigueur une modification de la loi sur les étrangers du 16 décembre 2005 (LEtr), devenue la LEI, et de l’ordonnance relative à l’admission, au séjour et à l’exercice d’une activité lucrative du 24 octobre 2007 (OASA - RS 142.201). Selon l’art. 126 al. 1 LEI, les demandes déposées avant l’entrée en vigueur de ladite loi sont régies par l’ancien droit. En l’espèce, l’OCPM ayant annoncé son intention de révoquer l’autorisation de séjour du recourant le 17 septembre 2020, le nouveau droit s’applique, étant précisé que la plupart des dispositions de la LEI sont demeurées identiques. 4.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L’« opération Papyrus » s’est terminée le 31 décembre 2018.</w:t>
      </w:r>
    </w:p>
    <w:p>
      <w:r>
        <w:rPr>
          <w:b/>
        </w:rPr>
        <w:t>E.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5.1</w:t>
      </w:r>
    </w:p>
    <w:p>
      <w:r>
        <w:t>L’art. 30 al. 1 let. b LEI permet de déroger aux conditions d’admission en Suisse, telles que prévues aux art. 18 à 29 LEI, notamment aux fins de tenir compte des cas individuels d’une extrême gravité ou d’intérêts publics majeurs.</w:t>
      </w:r>
    </w:p>
    <w:p>
      <w:r>
        <w:rPr>
          <w:b/>
        </w:rPr>
        <w:t>E. 5.2</w:t>
      </w:r>
    </w:p>
    <w:p>
      <w:r>
        <w:t>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w:t>
      </w:r>
    </w:p>
    <w:p>
      <w:r>
        <w:t>- 7/14 - A/834/2023 situation financière (let. d), de la durée de sa présence en Suisse (let. e), de son état de santé (let. f), ainsi que des possibilités de réintégration dans l’État de provenance (let. g).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Domaine des étrangers [ci-après : Directive LEI], état au 1er septembre 2023, ch. 5.6.10).</w:t>
      </w:r>
    </w:p>
    <w:p>
      <w:r>
        <w:rPr>
          <w:b/>
        </w:rPr>
        <w:t>E. 5.3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 Les années passées en Suisse dans l’illégalité ou au bénéfice d’une simple tolérance ne sont pas déterminantes (ATF 137 II 1 consid. 4.3 ; 134 II 10 consid. 4.3). La question est ainsi de savoir si, en cas de retour dans le pays d’origine, les conditions de sa réintégration sociale, au regard de la situation personnelle, professionnelle et familiale de l’intéressé, seraient gravement compromises (arrêts</w:t>
      </w:r>
    </w:p>
    <w:p>
      <w:r>
        <w:t>- 8/14 - A/834/2023 du Tribunal fédéral 2C_621/2015 du 11 décembre 2015 consid. 5.2.1 ; 2C_369/2010 du 4 novembre 2010 consid. 4.1).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6</w:t>
      </w:r>
    </w:p>
    <w:p>
      <w:r>
        <w:t>L’art. 62 al. 1 let. a LEI dispose que l’autorité compétente peut révoquer une autorisation, à l’exception de l’autorisation d’établissement, ou une autre décision, lorsque l’étranger ou son représentant légal a fait de fausses déclarations ou a dissimulé des faits essentiels durant la procédure d’autorisation.</w:t>
      </w:r>
    </w:p>
    <w:p>
      <w:r>
        <w:rPr>
          <w:b/>
        </w:rPr>
        <w:t>E. 6.1</w:t>
      </w:r>
    </w:p>
    <w:p>
      <w:r>
        <w:t>Ce motif de révocation repose sur l’obligation de collaborer prévue par la LEI pour les personnes étrangères ainsi que les autres personnes intéressées par l’autorisation (art. 90 LEI ; ATF 124 II 361 consid. 4c).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w:t>
      </w:r>
    </w:p>
    <w:p>
      <w:r>
        <w:rPr>
          <w:b/>
        </w:rPr>
        <w:t>E. 6.2</w:t>
      </w:r>
    </w:p>
    <w:p>
      <w:r>
        <w:t>Sont essentiels au sens de l’art. 62 al. 1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 manière intentionnelle, à savoir dans l’optique d’obtenir une autorisation de police des étrangers (arrêts du Tribunal fédéral 2C_656/2011 du 8 mai 2012 consid. 2.1 ; 2C_595/2011 du 24 janvier 2012 consid. 3.3).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précité consid. 4.2.1). Il importe peu que ladite autorité eût pu découvrir de tels faits par elle-même, si elle avait fait preuve de diligence (arrêts du Tribunal fédéral 2C_1036/2012 du 20 mars 2013 consid. 3). 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w:t>
      </w:r>
    </w:p>
    <w:p>
      <w:r>
        <w:t>- 9/14 - A/834/2023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(secrétariat d’État aux migration [ci-après : SEM], Directives LEI). 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7</w:t>
      </w:r>
    </w:p>
    <w:p>
      <w:r>
        <w:t>En l’espèce, le recourant a reconnu avoir produit, à l’appui de sa demande d’autorisation de séjour dans le cadre de l’« opération Papyrus », différents documents falsifiés ou contrefaits, avoir indiqué faussement, pièces à l’appui, qu’il avait séjourné et travaillé en Suisse entre 2007 et 2017 et avoir séjourné et travaillé illégalement en Suisse entre le 1er juin 2015, date de la prescription de l’action pénale et le 21 avril 2022. Cette seule condamnation pénale n’est pas compatible avec la délivrance d’une autorisation de séjour au titre de l’« opération Papyrus ». Par ailleurs, dès lors que l’intéressé a fourni des indications inexactes sur les éléments déterminants pour la réglementation du séjour, il remplit les conditions de l’art. 62 al. 1 let. a LEI d’une révocation de son autorisation de séjour. Au vu de la gravité de l’infraction commise et de la teneur de la disposition légale qui laisse peu de place à un pouvoir d’appréciation de l’autorité intimée, cette dernière a correctement appliqué le droit et n’a pas abusé dudit pouvoir. La décision respecte par ailleurs le principe de la proportionnalité. Elle est apte à atteindre le but d’intérêt public poursuivi, notamment le respect par la population qui y demeure de la législation en vigueur, nécessaire pour ce faire au vu de la gravité de l’infraction commise et proportionnée au sens étroit, étant encore rappelé que si le séjour de l’intéressé s’est déroulé sur plusieurs années, il est régulièrement retourné dans son pays d’origine, où il a grandi, dont il parle la langue, et où séjourne son épouse et ses trois enfants. Le recourant se prévaut de la véracité des faits sur lesquels portaient les documents falsifiés. Il ne peut être suivi. D’une part, cet élément n’est pas pertinent en application de l’art. 62 al. 1 let. a LEI et de la condamnation, définitive et exécutoire, de l’intéressé. D’autre part, contrairement à ce que</w:t>
      </w:r>
    </w:p>
    <w:p>
      <w:r>
        <w:t>- 10/14 - A/834/2023 soutient le recourant, de nombreux autres moyens auraient permis d’établir la réalité de son séjour allégué en Suisse. En effet, la documentation sur l’« opération Papyrus » détaillait pas moins de 19 exemples de « preuves de catégorie A (un document par année de séjour) et plusieurs documents pouvant servir de « preuves de catégorie B » (trois à cinq documents par année de séjour). Ainsi, la production par le recourant de quelques 50 fiches de salaire falsifiées, couvrant plus de quatre années, concernant plusieurs employeurs, relèvent d’un mépris certain de l’ordre juridique suisse et témoignent d’une mauvaise intégration. L’analyse de la situation sous l’angle du cas de rigueur aboutit au même résultat, étant rappelé que l’« opération Papyrus » n’emportait aucune dérogation aux dispositions légales applicables à la reconnaissance de raisons personnelles majeures justifiant la poursuite du séjour en Suisse de l’art. 30 al. 1 let. b LEI. Son séjour en Suisse, même à devoir le considérer comme long a été effectué dans l’illégalité et, dès l’obtention d’un document de séjour, sur la base de fausses indications. Il n’est de surcroît pas démontré que l’intéressé ait effectivement séjourné de façon continue en Suisse. Ainsi, pour l’année 2006, il n’a cotisé qu’au mois de janvier, à l’instar du seul mois de juillet pour l’année 2007. Aucun versement n’a été effectué de 2008 à 2011. Il n’a certes pas recouru à l’aide sociale et justifie d’un niveau A2 de langue française. Cela étant, son épouse et ses trois enfants ne vivent pas en Suisse, de sorte que ses liens affectifs et familiaux ne s’y trouvent pas. Il ne fait pas non plus valoir qu’il s’investirait d’une quelconque manière dans la vie associative, sportive ou culturelle à Genève, ni qu’il y aurait noué des liens amicaux d’une intensité telle qu’il ne pourrait les poursuivre par le biais de moyens de télécommunication modernes une fois de retour au Kosovo. Ses activités, dans le domaine de la peinture en bâtiment,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 Enfin, il n’a pas respecté l’ordre juridique suisse et les valeurs de la Constitution, et ne peut se prévaloir d’une bonne intégration. Le recourant ne peut être suivi lorsqu’il affirme que le non renouvellement de son permis de séjour le sanctionnerait une nouvelle fois pour des faits pour lesquels il a déjà été condamné. Le Tribunal fédéral a en effet jugé que la décision de révoquer un permis de séjour à la suite d’une infraction pénale qui a valu à l’intéressé une condamnation pénale ne constitue pas une double peine. Le principe ne bis in idem n’empêche en effet pas de prendre des mesures administratives telles que les renvois prononcés par les autorités de police des étrangers, en se fondant sur les mêmes faits délictueux qui ont déjà été jugés par le</w:t>
      </w:r>
    </w:p>
    <w:p>
      <w:r>
        <w:t>- 11/14 - A/834/2023 juge pénal (arrêts du Tribunal fédéral 2C_459/2013 du 21 octobre 2013 consid. 4 ; 2C_282/2012 du 31 juillet 2012 consid. 2.6).</w:t>
      </w:r>
    </w:p>
    <w:p>
      <w:r>
        <w:rPr>
          <w:b/>
        </w:rPr>
        <w:t>E. 8</w:t>
      </w:r>
    </w:p>
    <w:p>
      <w:r>
        <w:t>Reste à examiner si le renvoi prononcé par l’OCPM était fondé.</w:t>
      </w:r>
    </w:p>
    <w:p>
      <w:r>
        <w:rPr>
          <w:b/>
        </w:rPr>
        <w:t>E. 8.1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8.2</w:t>
      </w:r>
    </w:p>
    <w:p>
      <w:r>
        <w:t>En l’espèce, dès lors qu’il a, à juste titre, refusé l’octroi d’une autorisation de séjour au recourant, l’intimé devait prononcer son renvoi. Le recourant n’invoque aucun élément permettant de retenir que son renvoi ne serait pas possible, licite ou ne pourrait raisonnablement être exigé ; de tels éléments ne ressortent pas non plus du dossier. Entièrement mal fondé, le recours sera rejeté.</w:t>
      </w:r>
    </w:p>
    <w:p>
      <w:r>
        <w:rPr>
          <w:b/>
        </w:rPr>
        <w:t>E. 9</w:t>
      </w:r>
    </w:p>
    <w:p>
      <w:r>
        <w:t>Vu l’issue du litige, un émolument de CHF 400.- sera mis à la charge du recourant, qui succombe (art 87 al. 1 LPA) et il n’est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