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ATA/17/2017 vom 10. Januar 2017</w:t>
      </w:r>
    </w:p>
    <w:p>
      <w:r>
        <w:t>GE Cour de justice, 2017-01-10, FR</w:t>
      </w:r>
    </w:p>
    <w:p>
      <w:r>
        <w:rPr>
          <w:b/>
        </w:rPr>
        <w:t xml:space="preserve">Quelle: </w:t>
      </w:r>
      <w:r>
        <w:t>https://mcp.opencaselaw.ch/entscheid/ge_gerichte_ATA_17_2017</w:t>
      </w:r>
    </w:p>
    <w:p>
      <w:r>
        <w:t>FR: GE_GERICHTE ATA/17/2017 du 10 janvier 2017</w:t>
      </w:r>
    </w:p>
    <w:p>
      <w:r>
        <w:t>IT: GE_GERICHTE ATA/17/2017 del 10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w:t>
      </w:r>
    </w:p>
    <w:p>
      <w:r>
        <w:rPr>
          <w:b/>
        </w:rPr>
        <w:t>E. 3</w:t>
      </w:r>
    </w:p>
    <w:p>
      <w:r>
        <w:t>En matière d’examens, le pouvoir de l’autorité de recours reste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(ATA/1220/2015 du 10 novembre 2015 consid. 4).</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w:t>
      </w:r>
    </w:p>
    <w:p>
      <w:r>
        <w:t>Cependant, dans la mesure où la partie conteste l'interprétation et l'application de prescriptions légales ou qu'elle se plaint d'une violation formelle des règles de procédure, la chambre administrative, ainsi que le commande la jurisprudence fédérale, examine les griefs soulevés avec une pleine cognition (ATF 136 I 229 consid. 5.4.1 ; ATAF A-1346/2011 du 13 mars 2012 consid. 2.3 ; ATAF 2008/14 du 14 avril 2008 consid. 3.3 ; ATA/1220/2015 précité consid. 4). Par règles de procédure, il faut entendre tous les griefs liés à la façon dont l'examen ou son évaluation se sont déroulés (ATAF 2008/14 consid. 3.3 précité ; ATAF 2007/6 consid. 3 et les références citées). En outre, l'admission d'un vice formel conduirait tout au plus à l'autoriser à repasser les épreuves en cause, faute</w:t>
      </w:r>
    </w:p>
    <w:p>
      <w:r>
        <w:t>- 9/15 - A/320/2016 pour le tribunal de pouvoir librement substituer son pouvoir d'appréciation à celui des examinateurs (ATAF A-1346/2011 précité consid. 2.3.1 ; ATAF B-6500/2008 du 19 mars 2009 consid. 5.1.1 ; ATA/1220/2015 précité).</w:t>
      </w:r>
    </w:p>
    <w:p>
      <w:r>
        <w:rPr>
          <w:b/>
        </w:rPr>
        <w:t>E. 4</w:t>
      </w:r>
    </w:p>
    <w:p>
      <w:r>
        <w:t>L’exercice des transports de personnes au moyen de véhicules automobiles et par des entreprises de taxis et de limousine est soumis au respect des dispositions de la LTaxis. Le Conseil d’État est chargé d’édicter les dispositions d’exécution de cette loi (art. 49 LTaxis) ce qu’il a fait en adoptant les dispositions du RTaxis.</w:t>
      </w:r>
    </w:p>
    <w:p>
      <w:r>
        <w:rPr>
          <w:b/>
        </w:rPr>
        <w:t>E. 4.2</w:t>
      </w:r>
    </w:p>
    <w:p>
      <w:r>
        <w:t>; ATA/141/2012 du</w:t>
      </w:r>
    </w:p>
    <w:p>
      <w:r>
        <w:rPr>
          <w:b/>
        </w:rPr>
        <w:t>E. 5</w:t>
      </w:r>
    </w:p>
    <w:p>
      <w:r>
        <w:t>L’exercice de la profession de chauffeur de taxi, respectivement de limousine, est soumis à l’obtention préalable de la carte professionnelle afférant à chacun de ces types de véhicules, document délivré par le Scom si le requérant remplit les conditions de l’art. 6 al. 1 et 2 LTaxis, respectivement 7 al. 1 et 2 LTaxis. En particulier, le requérant doit avoir réussi les examens prévus à l’art. 27, respectivement 28 LTaxis (art. 6 al. 2 let. c LTaxis, respectivement</w:t>
      </w:r>
    </w:p>
    <w:p>
      <w:r>
        <w:rPr>
          <w:b/>
        </w:rPr>
        <w:t>E. 7</w:t>
      </w:r>
    </w:p>
    <w:p>
      <w:r>
        <w:t>a. Les examens sont organisés par le département lequel peut cependant déléguer cette tâche aux milieux professionnels sous sa surveillance (art. 29 al. 1 LTaxis).</w:t>
      </w:r>
    </w:p>
    <w:p>
      <w:r>
        <w:t>b. Selon l’art. 73 al. 2 RTaxis, une commission des examens est constituée, qui est composé de deux membres par association ou organisation reconnues en vertu des critères de l’art. 72 RTaxis. Elle est organisée en sous-commissions composées elles-mêmes selon les modalités prévues à l’art. 76 RTaxis.</w:t>
      </w:r>
    </w:p>
    <w:p>
      <w:r>
        <w:t>- 10/15 - A/320/2016</w:t>
      </w:r>
    </w:p>
    <w:p>
      <w:r>
        <w:rPr>
          <w:b/>
        </w:rPr>
        <w:t>E. 8</w:t>
      </w:r>
    </w:p>
    <w:p>
      <w:r>
        <w:t>a. Les examens sont organisés sous la forme d’une session ordinaire chaque année au printemps (art. 30 al. 1 RTaxis), mais, à la demande des milieux intéressés, une session extraordinaire peut être organisée en automne (art. 30 al. 3 RTaxis). Durant la même session, mais après un délai d’attente d’un mois, des examens complémentaires sont organisés pour un nouvel examen des branches auxquelles un candidat a échoué (art. 30 al. 2 RTaxis). Pour pouvoir participer à une session d’examens, le candidat doit à chaque fois entreprendre de s’inscrire auprès du Scom (art. 31 RTaxis).</w:t>
      </w:r>
    </w:p>
    <w:p>
      <w:r>
        <w:t>b. Le candidat qui ne réussit pas les examens peut se présenter à la série complémentaire d’examens de la même session pour subir les épreuves auxquelles il a échoué. (art. 41 al. 1 RTaxis) Le candidat qui a échoué à une session d’examens peut se présenter à une nouvelle session. Il doit subir à nouveau tous les examens, sauf ceux pour lesquels il a obtenu une note égale ou supérieure à 5 points lors d’une session précédente (art. 41 al. 2 RTaxis). Le candidat qui a subi trois échecs à l’issue de trois sessions, y compris la série d’examens complémentaires, ne peut plus se réinscrire (art. 41 al. 4 RTaxis).</w:t>
      </w:r>
    </w:p>
    <w:p>
      <w:r>
        <w:rPr>
          <w:b/>
        </w:rPr>
        <w:t>E. 9</w:t>
      </w:r>
    </w:p>
    <w:p>
      <w:r>
        <w:t>Ancré aux art. 5 al. 3 et 9 de la Constitution fédérale de la Confédération suisse du 18 avril 1999 (Cst. - RS 101),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en celles-là (ATF138 I 49 consid. 8.3 p. 53 ; ATF 131 II 627 consid. 6.1 et la jurisprudence citée ; ATF 131 II 627 consid. 6.1 et la jurisprudence citée ; 129 I 161 consid. 4 p. 170 ; 129 II 361 consid. 7.1 p. 381 ; arrêts du Tribunal fédéral 1C_18/2015 du 22 mai 2015 consid. 3 ; 2C_970/2014 du 24 avril 2015 consid. 3.1 ; 1C_534/2009 du 2 juin 2010 ; 9C_115/2007 du 22 janvier 2008 consid.</w:t>
      </w:r>
    </w:p>
    <w:p>
      <w:r>
        <w:rPr>
          <w:b/>
        </w:rPr>
        <w:t>E. 13</w:t>
      </w:r>
    </w:p>
    <w:p>
      <w:r>
        <w:t>Trancher la question précitée implique également le rappel des principes généraux du droit intertemporel.</w:t>
      </w:r>
    </w:p>
    <w:p>
      <w:r>
        <w:t>Ainsi,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w:t>
      </w:r>
    </w:p>
    <w:p>
      <w:r>
        <w:t>- 13/15 - A/320/2016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w:t>
      </w:r>
    </w:p>
    <w:p>
      <w:r>
        <w:t>La solution est en principe simple lorsque le nouveau droit contient des dispositions de droit intertemporel – ou dispositions transitoires – qui règlent expressément la question. Il arrive toutefois que des dispositions transitoires donnent lieu à des difficultés d’interprétation (Thierry TANQUEREL, op. cit., n. 404 ss et les références citées).</w:t>
      </w:r>
    </w:p>
    <w:p>
      <w:r>
        <w:t>On parle de rétroactivité lorsque la loi attache des conséquences juridiques nouvelles à des faits qui se sont produits et achevés entièrement avant l’entrée en vigueur du nouveau droit (Thierry TANQUEREL, op. cit., n. 417 ss).</w:t>
      </w:r>
    </w:p>
    <w:p>
      <w:r>
        <w:t>L'interdiction de la rétroactivité (proprement dite) des lois, qui découle des art. 5 al. 1 et 9 Cst. (ATF 138 I 189 consid. 3.4 p. 193 ; arrêt du Tribunal fédéral 2C_806/2012 du 12 juillet 2013 consid. 8.2, non publié in ATF 139 I 229 ; cf., en droit privé, art. 1 Tit. fin. du Code civil suisse du 10 décembre 1907 - CC - RS 210 ; ATF 133 III 105 consid. 2.1.1 p. 108 ; arrêt du Tribunal fédéral 5A_690/2011 du 10 janvier 2012 consid. 3.2),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140 V 154 consid. 6.3.2 p. 163 ; 138 I 189 consid. 3.4 p. 193 s. ; 122 II 113 consid. 3b p. 124 ; arrêt du Tribunal fédéral 2C_273/2014 du 23 juillet 2014).</w:t>
      </w:r>
    </w:p>
    <w:p>
      <w:r>
        <w:t>Selon la jurisprudence constante de la chambre de céans dans le domaine de la formation, sauf disposition transitoire prévoyant l’inverse, un étudiant reste soumis au statut qui est le sien au début de ses études ainsi qu’aux règles d’évaluation fixée dans ce dernier.</w:t>
      </w:r>
    </w:p>
    <w:p>
      <w:r>
        <w:t>Dans le cas d’espèce, ce n’est pas la loi qui a changé mais la pratique de la commission. Même si l’organisation des examens a été largement déléguée à cette dernière par la loi, dans la mesure où celle-ci n’a pas prévu de délais pour la mise en œuvre de l’augmentation de son niveau d’exigence en matière de maîtrise de langues étrangères, le recourant, qui en est à sa troisième tentative, doit se voir reconnaître le droit de répéter l’examen auquel il a échoué conformément au niveau d’exigence qui a prévalu durant ses deux premières tentatives, à savoir le niveau A1-A2 CERC.</w:t>
      </w:r>
    </w:p>
    <w:p>
      <w:r>
        <w:t>- 14/15 - A/320/2016</w:t>
      </w:r>
    </w:p>
    <w:p>
      <w:r>
        <w:rPr>
          <w:b/>
        </w:rPr>
        <w:t>E. 14</w:t>
      </w:r>
    </w:p>
    <w:p>
      <w:r>
        <w:t>Le recours sera admis. La décision sur opposition de la commission du</w:t>
      </w:r>
    </w:p>
    <w:p>
      <w:r>
        <w:rPr>
          <w:b/>
        </w:rPr>
        <w:t>E. 15</w:t>
      </w:r>
    </w:p>
    <w:p>
      <w:r>
        <w:t>Vu l’issue du recours, aucun émolument ne sera prélevé (art. 87 al. 1 LPA). Une indemnité de CHF 1'500.- sera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