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ATA/179/2025 vom 18. Februar 2025</w:t>
      </w:r>
    </w:p>
    <w:p>
      <w:r>
        <w:t>GE Cour de justice, 2025-02-18, FR</w:t>
      </w:r>
    </w:p>
    <w:p>
      <w:r>
        <w:rPr>
          <w:b/>
        </w:rPr>
        <w:t xml:space="preserve">Quelle: </w:t>
      </w:r>
      <w:r>
        <w:t>https://mcp.opencaselaw.ch/entscheid/ge_gerichte_ATA_179_2025</w:t>
      </w:r>
    </w:p>
    <w:p>
      <w:r>
        <w:t>FR: GE_GERICHTE ATA/179/2025 du 18 février 2025</w:t>
      </w:r>
    </w:p>
    <w:p>
      <w:r>
        <w:t>IT: GE_GERICHTE ATA/179/2025 del 18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L’OCPM étant – à juste titre – entré en matière sur la demande de reconsidération, il convient d’examiner si le refus d’octroi d’une autorisation de séjour est fondé.</w:t>
      </w:r>
    </w:p>
    <w:p>
      <w:r>
        <w:rPr>
          <w:b/>
        </w:rPr>
        <w:t>E. 2.1</w:t>
      </w:r>
    </w:p>
    <w:p>
      <w:r>
        <w:t>L'ALCP, entré en vigueur pour la Suisse le 1er juin 2002, est applicable aux ressortissants des pays membres de l'UE, dont fait partie le Portugal, et de l'AELE et aux membres de leur famille, pour autant que le droit national – à savoir la LEI et ses ordonnances d'exécution, en particulier l'ordonnance relative à l'admission, au séjour et à l'exercice d'une activité lucrative du 24 octobre 2007 (OASA -</w:t>
      </w:r>
    </w:p>
    <w:p>
      <w:r>
        <w:t>- 8/17 - A/3855/2023 RS 142.201) – ne soit pas plus favorable ou que l'ALCP n'en dispose pas autrement (art. 12 ALCP ; art. 2 al. 2 et 3 LEI). Il se justifie par conséquent d'examiner la situation juridique du recourant, qui possède la nationalité portugaise, sous l'angle de l'ALCP et de la LEI.</w:t>
      </w:r>
    </w:p>
    <w:p>
      <w:r>
        <w:rPr>
          <w:b/>
        </w:rPr>
        <w:t>E. 2.2</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2.3</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2.4</w:t>
      </w:r>
    </w:p>
    <w:p>
      <w:r>
        <w:t>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2.5</w:t>
      </w:r>
    </w:p>
    <w:p>
      <w:r>
        <w:t>En l’espèce, il n’est pas contesté que le recourant n’exerçait plus d’activité lucrative lorsqu’il a sollicité l’octroi d’une autorisation de séjour. Il ne peut donc invoquer l’art. 4 § 1 et 2 Annexe I ALCP pour obtenir le renouvellement de son autorisation de séjour. Il convient ainsi d’examiner s’il remplit, comme il le soutient, les conditions de l’art. 24 § 1 annexe I ALCP et de l’art. 16 OLCP.</w:t>
      </w:r>
    </w:p>
    <w:p>
      <w:r>
        <w:rPr>
          <w:b/>
        </w:rPr>
        <w:t>E. 3</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w:t>
      </w:r>
    </w:p>
    <w:p>
      <w:r>
        <w:t>- 9/17 - A/3855/2023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3.1</w:t>
      </w:r>
    </w:p>
    <w:p>
      <w:r>
        <w:t>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par.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 2C_205/2017 du 12 juin 2018 consid. 6.3 et les arrêts cités).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2022, par. 6.2.3).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rPr>
          <w:b/>
        </w:rPr>
        <w:t>E. 3.2</w:t>
      </w:r>
    </w:p>
    <w:p>
      <w:r>
        <w:t>En l’espèce, il ressort du dossier que le recourant n’est sorti de l’aide sociale dont il a bénéficié de janvier 2010 à juin 2022 (pour un montant total de CHF 340’00.-) qu’à la suite de l’octroi d’une rente d’invalidité et de prestations complémentaires fédérales et cantonales. Il est manifeste que sa faible rente (CHF 1'259.- par mois en janvier 2021) ne lui permet pas de couvrir ses charges</w:t>
      </w:r>
    </w:p>
    <w:p>
      <w:r>
        <w:t>- 10/17 - A/3855/2023 incompressibles, étant relevé que le minimum vital pour un adulte vivant seul est de CHF 1'200.- selon les normes d’insaisissabilité (E 60.05), ce montant ne comprenant pas le loyer ni les primes d’assurance-maladie. Il ne parvient ainsi à couvrir ses charges – au sujet desquelles il ne fournit au demeurant aucune indication – que grâce aux prestations complémentaires s’élevant à CHF 1'605.- par mois dès 2024. Partant, dans la mesure où la couverture des besoins minimaux du recourant nécessite le versement de prestations complémentaires mensuelles, il ne peut pas se prévaloir de l'art. 24 § 1 annexe I ALCP et de l’art. 16 OLPC pour obtenir une autorisation de séjour.</w:t>
      </w:r>
    </w:p>
    <w:p>
      <w:r>
        <w:rPr>
          <w:b/>
        </w:rPr>
        <w:t>E. 4</w:t>
      </w:r>
    </w:p>
    <w:p>
      <w:r>
        <w:t>Il convient encore d’examiner si le recourant peut, à un autre titre, obtenir une autorisation de séjour.</w:t>
      </w:r>
    </w:p>
    <w:p>
      <w:r>
        <w:rPr>
          <w:b/>
        </w:rPr>
        <w:t>E. 4.1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(ATA/1473/2024 du 17 décembre 2024 consid. 2.7 ; ATA/216/2024 du 13février 2024 consid. 3.8 et les arrêts cités).</w:t>
      </w:r>
    </w:p>
    <w:p>
      <w:r>
        <w:rPr>
          <w:b/>
        </w:rPr>
        <w:t>E. 4.2</w:t>
      </w:r>
    </w:p>
    <w:p>
      <w:r>
        <w:t>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4.3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w:t>
      </w:r>
    </w:p>
    <w:p>
      <w:r>
        <w:t>- 11/17 - A/3855/2023 circonstances concrètes ayant amené un étranger à séjourner illégalement en Suisse (directives LEI, état au 1er septembre 2023, ch. 5.6.12).</w:t>
      </w:r>
    </w:p>
    <w:p>
      <w:r>
        <w:rPr>
          <w:b/>
        </w:rPr>
        <w:t>E. 4.3.1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 arrêt du Tribunal fédéral 2C_861/2015 du 11 février 2016 consid. 4.2 ; ATA/822/2023 du 9 août 2023 consid. 3.9).</w:t>
      </w:r>
    </w:p>
    <w:p>
      <w:r>
        <w:rPr>
          <w:b/>
        </w:rPr>
        <w:t>E. 4.5</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Un étranger peut également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w:t>
      </w:r>
    </w:p>
    <w:p>
      <w:r>
        <w:t>- 12/17 - A/3855/2023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4.6</w:t>
      </w:r>
    </w:p>
    <w:p>
      <w:r>
        <w:t>En l’espèce, le recourant est arrivé à Genève en 2008. Il y réside donc depuis près de 17 ans. Cette durée doit être qualifiée de longue. Cela étant, il ne ressort pas du dossier et le recourant ne soutient pas qu’il aurait tissé à Genève des liens affectifs et amicaux particulièrement fort, hormis avec son fils et avec sa sœur. Le recourant ne s’est, en outre, nullement investi dans la vie associative ou culturelle. Il a accumulé des dettes, faisant l’objet d’actes de défaut de biens pour un montant de plus de CHF 38'000.- à fin mars 2023. Le remboursement de la dette de CHF 26'000.- auprès de l’hospice résulte d’une compensation opérée par l’OCAS et n’est pas le fruit des efforts du recourant visant à régler ses dettes. Par ailleurs, il a commis des infractions pénales, y compris alors que sa demande de reconsidération était pendante. Son intégration sociale ne peut donc être considérée comme réussie, ni a fortiori remarquable. Cet élément fait, ainsi, obstacle à l’application en faveur du recourant du droit tiré de l’art. 8 CEDH à pouvoir demeurer en Suisse. Par ailleurs, alors que l’OCAS avait constaté qu’il avait recouvré sa pleine capacité de travail depuis le 1er juin 2011, le recourant a continué à dépendre de l’aide sociale. À l’exception de deux missions en décembre 2016, il n’a exercé aucune activité lucrative entre juin 2011 et le 1er janvier 2017, date à laquelle son incapacité de travail totale a été fixée par l’AI. Partant, le recourant ne s’était, alors qu’il disposait de sa pleine capacité de travail, pas intégré professionnellement. Il ne peut donc se prévaloir d’une intégration socio-professionnelle réussie.</w:t>
      </w:r>
    </w:p>
    <w:p>
      <w:r>
        <w:t>- 13/17 - A/3855/2023 Le recourant est arrivé en Suisse à l’âge de 24 ans. Il a donc passé son enfance, son adolescence et le début de sa vie d’adulte au Portugal. Il en connaît donc les us et coutume et la mentalité. Si, certes, la réintégration dans son pays d’origine nécessitera de sa part un temps d’adaptation en raison de la durée de son séjour en Suisse, son pays ne saurait lui être devenu étranger. Il pourra en outre y bénéficier de sa rente AI, qui est exportable. Le certificat médical du Dr D______ fait état de la nécessité d’un traitement en Suisse pour des troubles psychiatriques. Or, il est notoire que le Portugal dispose d’un système de santé apte à assurer les soins médicaux nécessaires à l’ensemble des troubles de la santé (ATA/1098/2021 du 19 octobre 2021 consid. 8). Le certificat médical produit ne permet d’ailleurs pas de retenir que les soins dont le recourant a besoin ne seraient pas disponibles dans son pays d’origine ni que seuls ceux prodigués en Suisse seraient de nature à éviter une atteinte grave et durable à sa santé. Aucun motif médical ne permet de retenir l’existence d’un cas d’extrême gravité. Enfin, se pose encore la question de savoir si les relations entretenues entre le recourant et son fils justifient l’octroi d’une autorisation de séjour. Dans le jugement du TAPI de 2018, il avait été constaté que le recourant n’entretenait pas de relations personnelles avec son fils et ne contribuait pas non plus à son entretien. Il avait été en mesure de trouver un emploi pour des missions temporaires en mai et juin 2018, au moment où lors de l’audience que le TAPI avait tenue le 8 mai 2018, son attention avait été attirée sur l’importance de démontrer sa capacité et sa volonté de contribuer à l’entretien de son fils. Le TAPI avait retenu, au vu de ces circonstances, que le recourant n’avait pas la volonté réelle de contribuer à l’entretien de son fils. Depuis octobre 2020, les relations personnelles entre le père et le fils sont réglées par le jugement du TPI prévoyant l’exercice d’un droit de visite usuel. Il semblerait que le recourant entretienne depuis lors des relations personnelles avec son fils. Comme l’a relevé à juste titre le TAPI dans le jugement querellé, cette évolution n’a été possible qu’en raison du fait que le recourant n’a pas respecté la décision de renvoi rendue à son encontre. Le rapprochement allégué avec son fils doit donc être tempéré à cet égard. En outre, il ne ressort pas du dossier que les relations personnelles entre le recourant et son fils seraient d’une intensité particulière. Bien qu’il ait produit quelques photographies le montrant avec son fils ainsi qu’une attestation de la mère de son enfant, force est de constater que les indications fournies relatives à la fréquence de leurs échanges, aux activités partagées ou aux caractéristiques de leur relation demeurent vagues et générales. L’écrit de la mère produit devant la chambre de céans mentionne que l’enfant passe un week-end sur deux avec son père « des mercredis jusqu’à lundi » et un mois de vacances scolaires. Outre le fait que le recourant n’a jamais allégué que son fils était chez lui du mercredi au lundi, l’écrit de la mère ne contient aucune indication sur la qualité ou l’intensité du lien unissant l’enfant à son père.</w:t>
      </w:r>
    </w:p>
    <w:p>
      <w:r>
        <w:t>- 14/17 - A/3855/2023 Le recourant ne peut non plus se prévaloir d’avoir régulièrement et selon ses capacités financières contribué à l’entretien de son fils. Au contraire, il ne s’est pratiquement jamais acquitté de la contribution d’entretien. Dans son jugement de 2018, le TAPI avait retenu que l’absence de paiement régulier de la pension alimentaire entre 2013 à 2019 était en tout cas en partie imputable à l’insuffisance des efforts que le recourant avait consentis pour trouver un emploi. La mère de son fils a dû s’adresser au SCARPA auquel le recourant est redevable d’un montant de plus de CHF 17'300.- à titre d’arriérés de pension alimentaire, montant qu’il ne soutient pas avoir remboursé. Depuis l’octroi d’une rente AI, c’est l’OCAS qui verse la rente complémentaire pour enfant, de CHF 516.- par mois en 2023. Pour le surplus, faute d’avoir apporté des éléments relatifs à ses charges, il ne peut être retenu que le recourant serait dans l’impossibilité d'apporter une quelconque aide supplémentaire à son fils, aussi modeste soit-elle. Au vu de ce qui précède, les conditions restrictives permettant d’admettre un droit à une autorisation de séjour fondée sur des relations personnelles tant affectives que financières d’une intensité particulière entre le recourant et son fils ne sont pas réalisées. Dans ces conditions, il peut être exigé du recourant qu’il poursuive ses relations personnelles avec son fils depuis le Portugal, notamment par la voie des moyens de communication modernes, ainsi que par le biais de voyages touristiques. Au vu de l’ensemble de ce qui précède, l’OCPM n’a pas violé la loi ni abusé de son pouvoir d’appréciation en refusant l’octroi d’une autorisation de séjour au recourant.</w:t>
      </w:r>
    </w:p>
    <w:p>
      <w:r>
        <w:rPr>
          <w:b/>
        </w:rPr>
        <w:t>E. 5</w:t>
      </w:r>
    </w:p>
    <w:p>
      <w:r>
        <w:t>Reste encore à examiner si la décision de renvoi est fondée.</w:t>
      </w:r>
    </w:p>
    <w:p>
      <w:r>
        <w:rPr>
          <w:b/>
        </w:rPr>
        <w:t>E. 5.1</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qu’elle a refusé l’octroi d’une autorisation de séjour au recourant, c’est également à bon droit que l’autorité intimée a maintenu son renvoi de Suisse. Comme exposé plus haut, les problèmes de santé du recourant pourront être pris en charge au Portugal. L’exécution de son renvoi est donc possible, licite et raisonnablement exigible. Mal fondé, le recours sera rejeté.</w:t>
      </w:r>
    </w:p>
    <w:p>
      <w:r>
        <w:rPr>
          <w:b/>
        </w:rPr>
        <w:t>E. 6</w:t>
      </w:r>
    </w:p>
    <w:p>
      <w:r>
        <w:t>Vu l’issue du recours, un émolument de CHF 400.- sera mis à la charge du recourant, qui ne peut se voir allouer d’indemnité de procédure (art. 87 LPA).</w:t>
      </w:r>
    </w:p>
    <w:p>
      <w:r>
        <w:t>* * * * *</w:t>
      </w:r>
    </w:p>
    <w:p>
      <w:r>
        <w:t>- 15/17 - A/3855/2023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