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ATA/179/2023 vom 28. Februar 2023</w:t>
      </w:r>
    </w:p>
    <w:p>
      <w:r>
        <w:t>GE Cour de justice, 2023-02-28, FR</w:t>
      </w:r>
    </w:p>
    <w:p>
      <w:r>
        <w:rPr>
          <w:b/>
        </w:rPr>
        <w:t xml:space="preserve">Quelle: </w:t>
      </w:r>
      <w:r>
        <w:t>https://mcp.opencaselaw.ch/entscheid/ge_gerichte_ATA_179_2023</w:t>
      </w:r>
    </w:p>
    <w:p>
      <w:r>
        <w:t>FR: GE_GERICHTE ATA/179/2023 du 28 février 2023</w:t>
      </w:r>
    </w:p>
    <w:p>
      <w:r>
        <w:t>IT: GE_GERICHTE ATA/179/2023 del 28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conteste tout manquement à son devoir de diligence, reconnaissant tout au plus avoir commis une simple négligence en omettant de déposer pour son ancienne cliente un mémoire de réponse à l’appel formé par C______. 2.1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2.2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CO ; elle interdit à l'avocat d'entreprendre des actes qui pourraient nuire aux intérêts de son client (Walter FELLMANN, Kommentar zum Anwaltsgesetz, 2011, n. 25 ad art. 12 LLCA) et lui impose un devoir de fidélité et de loyauté (ATF 135 II 145 consid. 9.1 ; arrêt du Tribunal fédéral 1B_358/2014 du 12 décembre 2014 consid. 3.1 et les références citées).</w:t>
      </w:r>
    </w:p>
    <w:p>
      <w:r>
        <w:t>- 9/18 - A/3584/2022 2.3 Toute violation du devoir de diligence contractuel n'implique pas l'existence d'un manquement de nature disciplinaire au sens de l'art. 12 let. a LLCA. Cette disposition suppose l'existence d'un manquement significatif aux devoirs de la profession (ATF 144 II 473 consid. 4). L'avocat ne risque une sanction disciplinaire que lorsqu'il viole de manière intentionnelle ou gravement négligente son devoir de diligence (François BOHNET, Droit des professions judiciaires, 2014, p. 41 n. 39). De même, l'avocat doit disposer d'une organisation adéquate lui permettant d'accomplir sa mission. Il doit notamment recevoir à temps les communications destinées à ses clients et respecter les délais fixés par la loi ou l'autorité, quelles que soient les circonstances. L'observation des délais fait en effet partie des devoirs de base de l'avocat ; le non-respect de ce devoir constitue une erreur inexcusable (Benoît CHAPPUIS, La profession d'avocat, Tome I, Le cadre légal et les principes essentiels, 2016, p. 54 et les références citées ; Benoît CHAPPUIS, La profession d'avocat, Tome II, La pratique du métier : De la gestion d'une étude et la conduite des mandats à la responsabilité de l'avocats, 2017, p. 8 ss). 2.4 L'avocat a aussi un devoir d'information envers le client. Ce devoir a des fondements juridiques divers – LLCA, CO, règles déontologiques – et présente des facettes multiples ; il constitue une des obligations les plus importantes de l'avocat. La LLCA n'institue cependant un devoir d'information exprès qu'à l'art. 12 let. i LLCA qui oblige l'avocat à renseigner son client sur son mode de facturation et le montant des honoraires. Pour le reste, c'est au devoir général de diligence qu'il faut se référer. En vertu de ce dernier, l'avocat est tenu d'informer son client sur l'ensemble des risques liés à son affaire, en particulier les coûts et frais (notamment judiciaires et administratifs) qui en découleront. Il doit l'aider à apprécier les chances de succès du mandat qui lui est confié, une information exhaustive sur les risques encourus étant due. L'avocat est en tout temps tenu à un devoir de reddition de comptes, particulièrement concernant les frais et honoraires (Benoît CHAPPUIS, op. cit., Tome I, pp. 54-55). 2.5 Comme tout mandataire, l'avocat a ainsi le devoir général de rendre compte à son client à première demande de sa part ; cette reddition de comptes s'étend aussi bien à la conduite de son mandat et à l'évolution du dossier proprement dit qu'à toute circonstance susceptible de concerner son client (Michel VALTICOS in Michel VALTICOS/Christian REISER/Benoît CHAPPUIS/François BOHNET [éd.], Loi sur les avocats : commentaire de la loi fédérale sur la libre circulation des avocats [loi sur les avocats, LLCA], 2ème éd., 2022, n. 29 ad art. 12 ; ATA/820/2016 du 4 octobre 2016 consid. 5d). 2.6 La facturation d'honoraires à un client au bénéfice de l'assistance judiciaire, même si le montant reçu de l'État ne couvre pas l'entier des honoraires en question, constitue une violation des devoirs professionnels qui mérite d'être</w:t>
      </w:r>
    </w:p>
    <w:p>
      <w:r>
        <w:t>- 10/18 - A/3584/2022 sanctionnée disciplinairement (arrêts du Tribunal fédéral 2C_379/2009 du 7 décembre 2009 consid. 3.1; 2A.183/2004 du 26 juillet 2004 consid. 2.3). 2.7 Dans la mesure où le client est susceptible de satisfaire aux exigences de l’assistance juridique ou d’une assurance de protection juridique, il appartient à l’avocat de l’en informer, sans l’en dissuader ou l’inciter à lui confier un mandat onéreux (Michel VALTICOS, op. cit., n. 21 à 23 ad art. 12 LLCA). 2.8 La LLCA ne contient aucune disposition limitant expressément la faculté de l’avocat d’exercer un droit de rétention sur les biens qu’il détient pour le compte de son client, question qui relève donc essentiellement du droit civil. S’il est reconnu sur le plan civil, le droit de compenser n’est pas absolu et selon les circonstances, son exercice peut constituer une violation de la règle générale du devoir de diligence de l’art. 12 let. a LLCA. Doctrine et jurisprudence s’accordent en effet à refuser à l’avocat le droit de compenser lorsque, de sa connaissance de la situation patrimoniale de son mandant, il doit déduire que la compensation qu’il exercerait priverait celui-ci des moyens qui lui sont nécessaires pour son entretien ou celui de sa famille. La faculté de compenser ses honoraires avec la dette de l’avocat envers le client est en outre liée à son devoir d’information sur les modalités de facturation et de paiement de ses honoraires, tel que prescrit par l’art. 12 let. i LLCA. Il doit en tout cas s’en ouvrir clairement à ses clients en début de mandat et non procéder à une brusque compensation au terme de ce dernier, au risque de mettre ses clients dans une situation financière difficile (Benoît CHAPPUIS, op. cit., Tome I, 2013, p. 60-61 ; Michel VALTICOS, in op. cit., n. 270 et 271 ad art. 12 LLCA ; ATA/569/2014 du 29 juillet 2014 consid. 5d ; ATA/288/2014 du 29 avril 2014). 2.9 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(FSA) a précisément édicté le Code suisse de déontologie (ci-après: CSD); consultable sur http://www.sav- fsa.ch, entré en vigueur le 1er juillet 2005 et modifié le 22 juin 2012. À teneur de l'art. 1 CSD, l'avocat exerce sa profession, avec soin et diligence, et dans le respect de l'ordre juridique. Il s'abstient de toute activité susceptible de mettre en cause la confiance mise en lui. L’art. 17 du code suisse de déontologie prescrit en outre que l’avocat fait en sorte que le justiciable dans le besoin puisse bénéficier de l’assistance judiciaire. Il en informe son client. Sauf réglementation légale contraire, il ne peut demander aucun honoraire en sus de celui que fixe l’autorité. Selon l’art. 18 CSD, lors de l’acceptation du mandat, l’avocat informe son client des principes de fixation des honoraires.</w:t>
      </w:r>
    </w:p>
    <w:p>
      <w:r>
        <w:t>- 11/18 - A/3584/2022 2.10 Selon l’art. 15 RAJ, le conseil juridique nommé ne peut facturer à la personne bénéficiaire ni provisions ni honoraires (al. 1). L'Etat l'indemnise pour son activité (al. 2). En cas de rejet ou de retrait avec effet rétroactif de l'assistance juridique, la rémunération du conseil juridique incombe à la personne requérante. Le conseil juridique nommé est indemnisé par l'Etat s'il rend vraisemblable l'impossibilité, sans faute de sa part, d'obtenir cette rémunération (al. 3). 2.11 La chambre administrative examine librement si le comportement incriminé contrevient à l’art. 12 let. a LLCA (art. 67 LPA ; arrêt du Tribunal fédéral 2P.318/2006 du 27 juillet 2007 consid. 12.1 ; ATA/132/2014 précité). 3. Le recourant conteste avoir commis une faute en ne clarifiant pas en début de mandat la question du paiement de ses honoraires relatifs à la procédure pénale de sa cliente. Il a expliqué, à cet égard, qu’il n’avait pas rendu sa cliente attentive au fait qu’elle pouvait solliciter le bénéfice de l’AJ pour la procédure pénale, car il était parti de l’idée que ses honoraires étaient couverts par l’assurance protection juridique que celle-ci lui avait indiqué avoir conclue. Or, il n’a pas vérifié auprès de ladite assurance que ses honoraires relatifs à la procédure pénale seraient intégralement pris en charge. Contrairement à ce qu’il laisse entendre, il ne pouvait, sans aucune vérification de sa part à ce sujet, considérer qu’il aurait appartenu à sa cliente de se renseigner auprès de son assurance. Au contraire et quand bien même il soutient que sa première intervention en faveur de sa cliente avait été de l’assister, dans l’urgence, à son audition par la police, il lui incombait de clarifier la question de ses honoraires en début de mandat. Ainsi, il lui incombait d’obtenir soit directement de l’assurance protection juridique soit par le biais de sa cliente la confirmation de la couverture, respectivement l’étendue de celle-ci, de ses honoraires pour la procédure pénale. À défaut d’une couverture complète, ce qu’au demeurant la seule lecture du contrat d’assurance aurait permis de constater, il lui appartenait de proposer à sa cliente de requérir le bénéfice de l’AJ. Cette aide a d’ailleurs été accordée pour les procédures civiles, de sorte que l’allégation – qui plus est non étayée – de moyens financiers dont disposerait sa cliente pour assumer elle-même les honoraires d’avocat n’est pas vraisemblable. Le recourant a d’ailleurs, dans sa première détermination adressée à la commission, exposé que sa cliente était désargentée. En outre, s’il avait estimé qu’elle ne remplissait pas la condition de l’impécuniosité, la question pourrait se poser de savoir si le fait de requérir cette aide étatique en cachant l’existence de biens ou d’une fortune n’aurait pas également engagé sa responsabilité disciplinaire. Cette question ne fait cependant pas l’objet du litige. En ne clarifiant pas la question de la prise en charge de ses honoraires dès l’acceptation du mandat relatif à la cause pénale, notamment en ne vérifiant pas</w:t>
      </w:r>
    </w:p>
    <w:p>
      <w:r>
        <w:t>- 12/18 - A/3584/2022 l’étendue de la couverture de ceux-ci par l’assurance protection juridique et en n’informant, fort de la limite prévue par ce contrat, pas sa cliente de la possibilité de requérir l’AJ, le recourant doit se voir reprocher d’avoir manqué à son devoir de diligence, notamment à l’art. 12 let. i LLCA. 3.1 Le recourant conteste avoir commis une faute disciplinaire en ayant réclamé à sa cliente des honoraires pour des procédures pour lesquelles l’AJ avait été accordée. Le recourant a été nommé d’office pour la défense des intérêts de sa cliente dans les procédures C/1______2017 et C/3______2020. Dans sa détermination devant la commission, il a reconnu avoir omis de demander l’extension de l’AJ et indiqué qu’il renonçait ainsi à lui demander le paiement des honoraires non couverts par l’AJ. Il n’a cependant pas précisé à quelle procédure se rapportait sa renonciation à réclamer les honoraires en suspens. Quoiqu’il en soit, il est manifeste que faute d’avoir requis à temps la prise en charge de ses honoraires par l’AJ, respectivement l’extension de l’aide étatique, il ne pouvait mettre ceux-ci à la charge de sa cliente, qui n’avait pas à pâtir de son inaction, respectivement de son action tardive. Par ailleurs, il ressort du libellé clair de l’art. 15 RAJ, que l’avocat nommé d’office ne peut facturer à la personne bénéficiaire ni provisions ni honoraires. Compte tenu des décisions d’octroi de l’AJ dans les procédures civiles précitées, le recourant ne pouvait, en sus, réclamer à sa cliente les honoraires dépassant ceux que le service de l’AJ avait accepté de prendre en charge. En mettant ceux-ci néanmoins à la charge de sa cliente, le recourant a violé l’art. 15 RAJ et l’art. 12 let. a et g LLCA. 3.2 Le recourant soutient qu’il était en droit d’opposer ses honoraires en souffrance en compensation avec la créance de sa cliente en remise du montant versé par C______. Il est, en premier lieu, observé que, comme cela vient d’être exposé, le recourant ne disposait pas d’une créance envers sa cliente. En outre, quand bien même tel serait le cas, les conditions strictes d’une compensation entre les honoraires et les fonds confiés de tiers n’étaient pas réalisées. D’une part, le recourant n’établit pas que cette possibilité avait été, d’emblée, convenue avec sa cliente. Il ressort, en effet, de son courriel du 9 novembre 2020, qui comportait la décision de taxation de l’AJ et son relevé d’activité, qu’il « proposait » à sa cliente de lui reverser 50% qu’il percevrait de C______. Dans son courriel du 17 novembre 2020 à sa cliente, se référant à celui du 9 novembre 2020, il a répété qu’il ressortait du décompte des heures effectuées annexé audit courriel « une très grosse différence » avec les sommes prises en charge par l’AJ et l’assurance protection juridique, de sorte qu’il avait « proposé » que la moitié de la somme recouvrée serve à payer les honoraires non couverts par l’AJ. Ils avaient ensuite eu un entretien téléphonique</w:t>
      </w:r>
    </w:p>
    <w:p>
      <w:r>
        <w:t>- 13/18 - A/3584/2022 et elle n’avait soulevé aucune objection. Il lui rappelait son « engagement » pris à cet égard, tout en lui demandant, en cas d’accord avec la compensation, de le lui faire savoir dès réception de son courriel. Il ressort clairement des courriels précités du recourant que la possibilité d’une compensation n’a été évoquée que début novembre 2020 et non en début de mandat. Les deux courriels, suivis de la résiliation du mandat par la cliente le lendemain de la réception du second, démontrent également que le recourant n’avait pas obtenu le consentement de celle-ci à une compensation. D’autre part, le recourant, qui a invoqué devant la commission qu’il avait été convenu avec sa cliente, qui était désargentée, qu’il ne facturerait aucun honoraires pour la procédure pénale jusqu’à ce qu’elle revienne à meilleure fortune et qui avait requis et obtenu l’AJ pour les procédures civiles, ne soutient pas qu’avant de procéder à la compensation de sa créance en honoraires avec celle de sa cliente à son égard, il se serait enquis de l’évolution de la situation financière de cette dernière. La commission a ainsi retenu à juste titre que le recourant avait failli à son devoir d’information sur les modalités de facturation et de paiement de ses honoraires, tel que prescrit par l’art. 12 let. i LLCA, en procédant brusquement à la compensation de sa créance avec sa dette envers sa cliente. 3.3 Enfin, le fait de ne pas avoir veillé au respect du délai pour répondre à l’appel formé par C______ dans la procédure prud’homale constitue à l’évidence un manquement au devoir de diligence de l’avocat. Ce manquement a privé l’employée d’exercer son droit d’être entendue devant les juges d’appel. Elle a, du fait de la négligence du recourant – que celui-ci reconnaît d’ailleurs –, aucunement pu s’exprimer dans la procédure d’appel, alors que son ancien employeur contestait tant le principe que la quotité de l’indemnité fixée par les juges de première instance. Comme l’a souligné la commission, la cliente a vu l’indemnité réduite de moitié en appel, sans avoir pu se déterminer sur les arguments développés en appel ; l’inaction de son conseil l’a ainsi privée de l’exercice d’un droit fondamental dans une procédure la concernant. Contrairement à ce que fait valoir l’avocat, il ne saurait s’exonérer de sa responsabilité disciplinaire en relevant que l’erreur avait été commise par son stagiaire et que la pandémie l’avait contraint au télétravail. En tant que maître de stage et titulaire du dossier pour lequel il avait été nommé d’office, il lui incombait personnellement de veiller au respect des délais légaux. Par ailleurs, il n’invoque ni n’établit aucune circonstance qui l’aurait empêché d’instruire et de surveiller son stagiaire afin que la réponse à l’appel soit formée dans les délais.</w:t>
      </w:r>
    </w:p>
    <w:p>
      <w:r>
        <w:t>- 14/18 - A/3584/2022 Dans ces circonstances, le non-respect du délai de réponse dans la procédure d’appel prud’homale résulte d’une négligence grossière du recourant, constitutive d’un manquement à son devoir de diligence. En conséquence, c’est à juste titre que la commission a retenu pour l’ensemble de ces comportements une violation d’une certaine gravité des règles professionnelles, qui justifie le prononcé d'une sanction. 4. Reste à examiner la proportionnalité de la sanction prononcée par la commission. 4.1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 4.2 L'avertissement est la sanction prévue la moins grave et est réservée aux cas bénins. L'amende fait partie des mesures disciplinaires d'importance moyenne et sanctionne en principe les manquements professionnels plus graves que le blâme. Elle présente un caractère plus répressif que l'avertissement et le blâme, en particulier lorsque son montant est élevé (Alain BAUER/Philippe BAUER in Commentaire LLCA, n. 64 ad art. 17 LLCA ; ATA/258/2021 précité consid. 9a). 4.3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(ATA/831/2022 précité consid. 7c ; ATA/519/2021 du 18 mai 2021 consid. 6c et les références citées). 4.4 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op. cit., n. 25 ad art. 17 LLCA). 4.5 Dans sa jurisprudence, la chambre administrative a confirmé le blâme prononcé à l’encontre d’une avocate (sans antécédents) ayant facturé à sa cliente</w:t>
      </w:r>
    </w:p>
    <w:p>
      <w:r>
        <w:t>- 15/18 - A/3584/2022 des honoraires non retenus par l'AJ et ayant procédé à une compensation sans l'accord de sa cliente, dont elle connaissait la situation précaire, celle-ci suivant un plan de désendettement (ATA/395/2015 du 28 avril 2015 consid. 6f). Elle a également confirmé le blâme sanctionnant l’avocat (sans antécédents) qui avait omis d’entreprendre les démarches pour que sa cliente, pour qui il avait déjà obtenu l’AJ dans le passé, bénéficie de celle-ci pour une autre procédure, respectivement omis d’en demander l’extension et avait procédé à une brusque compensation de ses honoraires avec des montants recouvrés pour sa cliente (ATA/288/2014 du 29 avril 2014 consid. 5e). 4.6 En l’espèce, le recourant estime que le principe de proportionnalité impliquerait de renoncer au prononcé d'une sanction disciplinaire, voire ne devrait aboutir qu'au prononcé d'un avertissement ou d’un blâme. Il souligne qu’il était habilité à réclamer les honoraires non couverts par l’AJ, que la situation financière de sa cliente n’était pas précaire, que le non-respect du délai dans la procédure d’appel relevait d’une simple négligence et qu’il n’avait, en 47 ans d’activité comme avocat, jamais été sanctionné disciplinairement. Tel qu'indiqué ci-dessus, le fait de ne pas avoir respecté le délai de réponse dans la procédure prud’homale d’appel a eu pour conséquence que sa cliente a vu l’indemnité due par son employeur réduite de moitié sans avoir pu s’exprimer devant les juges du second degré. Par ailleurs, la compensation opérée n’était pas admissible, n’ayant pas été convenue d’emblée mais ayant été proposée après que le recourant a reçu les décisions de taxation de l’AJ. En outre, le recourant a reconnu avoir omis de requérir l’extension de l’AJ à temps et ne pouvait, comme exposé plus haut, réclamer ensuite à sa mandante les honoraires non couverts par l’AJ. Ces manquements ne peuvent être qualifiés de bénins. Les violations du devoir d’information et de diligence commises par le recourant en lien avec la facturation et la compensation non admissibles se rapprochent de celles pour lesquelles la chambre administrative a confirmé le prononcé d’un blâme. Le recourant a toutefois également violé ses obligations professionnelles en ne respectant pas le délai de réponse dans la procédure d’appel prud’homale. Le cumul de ces manquements justifie ainsi de sanctionner de manière plus sévère le recourant, de sorte que le prononcé d’une amende ne se heurte pas au principe de la proportionnalité ni ne consacre un excès ou un abus du pouvoir d’appréciation de la commission. Le montant de l’amende demeure dans le bas de la fourchette prévue par l'art. 17 al. 1 let. c LLCA et tient dûment compte tant des manquements commis que du fait que le recourant, titulaire du brevet d’avocat depuis une très longue période, soit plus de 45 ans, ne présente pas d’antécédents disciplinaires. Pour ces motifs, la commission n'a pas excédé ni abusé de son pouvoir d'appréciation en infligeant une amende de CHF 3'000.- au recourant.</w:t>
      </w:r>
    </w:p>
    <w:p>
      <w:r>
        <w:t>- 16/18 - A/3584/2022 Au vu de ce qui précède, le recours sera rejeté.</w:t>
      </w:r>
    </w:p>
    <w:p>
      <w:r>
        <w:rPr>
          <w:b/>
        </w:rPr>
        <w:t>E. 5</w:t>
      </w:r>
    </w:p>
    <w:p>
      <w:r>
        <w:t>Vu l’issue du litige, un émolument de CHF 1'000.- sera mis à la charge du recourant qui succombe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