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ATA/178/2013 vom 19. März 2013</w:t>
      </w:r>
    </w:p>
    <w:p>
      <w:r>
        <w:t>GE Cour de justice, 2013-03-19, FR</w:t>
      </w:r>
    </w:p>
    <w:p>
      <w:r>
        <w:rPr>
          <w:b/>
        </w:rPr>
        <w:t xml:space="preserve">Quelle: </w:t>
      </w:r>
      <w:r>
        <w:t>https://mcp.opencaselaw.ch/entscheid/ge_gerichte_ATA_178_2013</w:t>
      </w:r>
    </w:p>
    <w:p>
      <w:r>
        <w:t>FR: GE_GERICHTE ATA/178/2013 du 19 mars 2013</w:t>
      </w:r>
    </w:p>
    <w:p>
      <w:r>
        <w:t>IT: GE_GERICHTE ATA/178/2013 del 19 marzo 2013</w:t>
      </w:r>
    </w:p>
    <w:p>
      <w:pPr>
        <w:pStyle w:val="Heading2"/>
      </w:pPr>
      <w:r>
        <w:t>Regeste</w:t>
      </w:r>
    </w:p>
    <w:p>
      <w:r>
        <w:t>Résumé: Recours contre une décision de la commission du barreau rejetant la demande d'inscription au registre cantonal des avocats. Rejet du recours et confirmation de la décision de la commission au motif que la recourante, avocate, titulaire d'un brevet suisse, est employée par une société qui revêt une forme juridique prévue par un droit étranger et qu'aucun associé de cette société étrangère n'est inscrit comme avocat dans un registre en Suisse, n'est soumis aux règles professionnelles helvétiques ni à la surveillance des autorités suisses. L'indépendance de la recourante n'est ainsi pas garantie. La recourante ne peut se prévaloir de l'égalité de traitement car les autorisations accordées à des avocats travaillant dans des conditions similaires aux siennes restent isolées et sont actuellement soumises à réexamen.</w:t>
      </w:r>
    </w:p>
    <w:p>
      <w:pPr>
        <w:pStyle w:val="Heading2"/>
      </w:pPr>
      <w:r>
        <w:t>Erwägungen</w:t>
      </w:r>
    </w:p>
    <w:p>
      <w:r>
        <w:rPr>
          <w:b/>
        </w:rPr>
        <w:t>E. 8</w:t>
      </w:r>
    </w:p>
    <w:p>
      <w:r>
        <w:t>mai 2012 consid. 14).</w:t>
      </w:r>
    </w:p>
    <w:p>
      <w:r>
        <w:t>Encore faut-il qu’il n’existe pas un intérêt public prépondérant au respect de la légalité qui conduise à donner la préférence à celle-ci au détriment de l’égalité de traitement (ATF 115 Ia 81 consid. 2 p. 82/83 ; 99 Ib 377 consid. 5 p. 383), ni</w:t>
      </w:r>
    </w:p>
    <w:p>
      <w:r>
        <w:t>- 8/10 -</w:t>
      </w:r>
    </w:p>
    <w:p>
      <w:r>
        <w:t>d’ailleurs qu’aucun intérêt privé de tiers prépondérant ne s’y oppose (ATF 108 Ia 212 consid. 4 p. 213).</w:t>
      </w:r>
    </w:p>
    <w:p>
      <w:r>
        <w:t>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1C_304/2011 du 9 janvier 2012 consid. 5.3).</w:t>
      </w:r>
    </w:p>
    <w:p>
      <w:r>
        <w:t>b. En l'espèce, la commission a certes accordé l'inscription au registre genevois à quelques rares avocats travaillant dans des conditions similaires à celles de la recourante. Il s'agit toutefois de très peu de cas, isolés et actuellement même soumis à réexamen, la commission indiquant clairement qu'elle traitera à l'avenir tous les cas similaires comme celui de la recourante, la situation juridique peu claire qui prévalait après l'entrée en vigueur de la LLCA s'étant clarifiée dans le sens de la décision querellée concernant la recourante.</w:t>
      </w:r>
    </w:p>
    <w:p>
      <w:r>
        <w:t>Par conséquent, celle-ci ne saurait prétendre à un traitement égal aux quelques cas isolés traités, dans le passé, de manière illégale. 6)</w:t>
      </w:r>
    </w:p>
    <w:p>
      <w:r>
        <w:t>La commission était donc fondée à refuser d'inscrire la recourante au registre genevois des avocats. Mal fondé, le recours sera rejeté. La recourante, qui succombe, sera condamnée à un émolument de CHF 1'000.- (art. 87 al. 1 LPA).</w:t>
      </w:r>
    </w:p>
    <w:p>
      <w:r>
        <w:t>Vu l’issue du litige, il ne lui sera pas versé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