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ATA/178/2009 vom 7. April 2009</w:t>
      </w:r>
    </w:p>
    <w:p>
      <w:r>
        <w:t>GE Cour de justice, 2009-04-07, FR</w:t>
      </w:r>
    </w:p>
    <w:p>
      <w:r>
        <w:rPr>
          <w:b/>
        </w:rPr>
        <w:t xml:space="preserve">Quelle: </w:t>
      </w:r>
      <w:r>
        <w:t>https://mcp.opencaselaw.ch/entscheid/ge_gerichte_ATA_178_2009</w:t>
      </w:r>
    </w:p>
    <w:p>
      <w:r>
        <w:t>FR: GE_GERICHTE ATA/178/2009 du 7 avril 2009</w:t>
      </w:r>
    </w:p>
    <w:p>
      <w:r>
        <w:t>IT: GE_GERICHTE ATA/178/2009 del 7 aprile 2009</w:t>
      </w:r>
    </w:p>
    <w:p>
      <w:pPr>
        <w:pStyle w:val="Heading2"/>
      </w:pPr>
      <w:r>
        <w:t>Erwägungen</w:t>
      </w:r>
    </w:p>
    <w:p>
      <w:r>
        <w:rPr>
          <w:b/>
        </w:rPr>
        <w:t>E. 1</w:t>
      </w:r>
    </w:p>
    <w:p>
      <w:r>
        <w:t>L'action pécuniaire ayant été déposée avant l'entrée en vigueur de la loi modifiant la loi sur l'organisation judiciaire du 18 septembre 2008, il convient de déterminer le droit applicable.</w:t>
      </w:r>
    </w:p>
    <w:p>
      <w:r>
        <w:rPr>
          <w:b/>
        </w:rPr>
        <w:t>E. 2</w:t>
      </w:r>
    </w:p>
    <w:p>
      <w:r>
        <w:t>Le 18 septembre 2008, le Grand Conseil de la République et canton de Genève a modifié la loi d’organisation judiciaire du 22 novembre 1941 (LOJ - E 2 05). Cette novelle, entrée en vigueur le 1er janvier 2009, répond à l'article 29a Cst qui garantit l'accès au juge et à l'article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l'article 56B alinéa 4 LOJ et la modification de l'article 56G LOJ. Ainsi, le Tribunal administratif est désormais compétent pour connaître des recours contre les décisions concernant le statut et les rapports de service des fonctionnaires et autres membres du personnel de l’Etat et l'action pécuniaire est devenue une action contractuelle réservée aux prétentions fondées sur le droit public qui ne peuvent pas faire l'objet d'une décision et qui découlent d'un contrat de droit public.</w:t>
      </w:r>
    </w:p>
    <w:p>
      <w:r>
        <w:t>- 8/13 - A/3107/2008</w:t>
      </w:r>
    </w:p>
    <w:p>
      <w:r>
        <w:rPr>
          <w:b/>
        </w:rPr>
        <w:t>E. 3</w:t>
      </w:r>
    </w:p>
    <w:p>
      <w:r>
        <w:t>Selon l'article 162 LOJ, les juridictions administratives connaissent de tous les recours entrant dans leurs attributions déposés postérieurement à l'entrée en vigueur de la modification du 18 septembre 2008 (art. 162 al. 2 LOJ). Les recours interjetés avant l’entrée en vigueur de la modification du 18 septembre 2008 et pendants devant une autre juridiction sont transmis d’office au Tribunal administratif s’ils entrent dans sa compétence en vertu des dispositions du nouveau droit (art. 162 al. 4 LOJ).</w:t>
      </w:r>
    </w:p>
    <w:p>
      <w:r>
        <w:t>Cette disposition ne traite pas du droit applicable à l'action pécuniaire déposée avant l'entrée en vigueur de la modification législative. Il convient dès lors de se référer aux principes généraux de droit intertemporel.</w:t>
      </w:r>
    </w:p>
    <w:p>
      <w:r>
        <w:rPr>
          <w:b/>
        </w:rPr>
        <w:t>E. 4</w:t>
      </w:r>
    </w:p>
    <w:p>
      <w:r>
        <w:t>En principe, le nouveau droit s’applique à toutes les situations qui interviennent depuis son entrée en vigueur. En particulier, en l’absence de dispositions transitoires, les nouvelles règles de nature procédurale doivent s’appliquer immédiatement à toutes les affaires pendantes (ATF 130 V 560, 562 ; 111 V 46, 47 ; Arrêt du Tribunal administratif fédéral A-5714/2007 du 18 mars 2008, consid. 3.4 et les réf. citées ; ATA/356/2008 du 24 juin 2008 ; voir aussi U. HAEFELIN/G. MÜLLER/F. UHLMANN, Allgemeines Verwaltung-srecht, Zurich, 2006, p. 66, no 327a ; P. MOOR, Droit administratif, vol. I, Berne, 1994, p. 171), sous réserve de deux exceptions. Premièrement, si une autorité compétente selon l’ancien droit a été saisie avant l’entrée en vigueur du nouveau droit et n’a pas été abolie par ce dernier, elle reste compétente pour connaître de l’affaire en cause (ATF 130 V 90, 93). Deuxièmement, les nouvelles règles de procédure ne peuvent être appliquées immédiatement que si elles restent dans une certaine continuité avec le système antérieur, sans en bouleverser les fondements (ATF 112 V 356, 360 ; U. HAEFELIN/G. MÜLLER/F. UHLMANN, op. cit., p. 66, n° 327a). Une règle nouvelle qui modifie la procédure à suivre devant l'autorité dont la décision est entreprise ne saurait être appliquée par l'autorité de recours. Une telle application conférerait un effet rétroactif à la règle de procédure (B. KNAPP, Précis de droit administratif, Bâle, 1991, p. 123, n° 594).</w:t>
      </w:r>
    </w:p>
    <w:p>
      <w:r>
        <w:rPr>
          <w:b/>
        </w:rPr>
        <w:t>E. 5</w:t>
      </w:r>
    </w:p>
    <w:p>
      <w:r>
        <w:t>En l'occurrence, en ouvrant une voie de recours contre les décisions relatives au statut et aux rapports de service des fonctionnaires et autres membres du personnel de l'Etat, le nouveau droit a restreint les possibilités pour intenter une action pécuniaire. La procédure à suivre devant l'autorité de recours n'est ainsi pas identique selon le nouveau ou l'ancien droit. Il convient dès lors d'appliquer à la présente procédure, introduite par-devant le tribunal de céans avant la modification législative, les règles de la LOJ dans leur ancienne teneur (ci-après : aLOJ).</w:t>
      </w:r>
    </w:p>
    <w:p>
      <w:r>
        <w:rPr>
          <w:b/>
        </w:rPr>
        <w:t>E. 6</w:t>
      </w:r>
    </w:p>
    <w:p>
      <w:r>
        <w:t>Mme X______ réclame le versement de la différence entre son traitement en classe 16 annuité 14 et celui qui serait le sien en classe 20 annuité 14.</w:t>
      </w:r>
    </w:p>
    <w:p>
      <w:r>
        <w:t>- 9/13 - A/3107/2008</w:t>
      </w:r>
    </w:p>
    <w:p>
      <w:r>
        <w:rPr>
          <w:b/>
        </w:rPr>
        <w:t>E. 7</w:t>
      </w:r>
    </w:p>
    <w:p>
      <w:r>
        <w:t>a. Aux termes de l'article 56G aLOJ, une action pécuniaire devant le Tribunal administratif est ouverte pour les actions relatives à des prétentions de nature pécuniaire fondées sur le droit public cantonal qui ne peuvent pas faire l'objet d'une décision au sens de l'article 56A alinéa 2 LOJ et qui découlent des rapports entre l'Etat, les communes, les autres corporations et établissements de droit public et leurs agents publics (al. 1 let. a).</w:t>
      </w:r>
    </w:p>
    <w:p>
      <w:r>
        <w:t>b. De jurisprudence constante, l’action pécuniaire est subsidiaire au recours, et n’est soumise à aucun délai, sous réserve de la prescription ou de la péremption du droit de fond (ATA/828/2005 du 6 décembre 2005 ; ATA/873/2004 du 9 novembre 2004).</w:t>
      </w:r>
    </w:p>
    <w:p>
      <w:r>
        <w:rPr>
          <w:b/>
        </w:rPr>
        <w:t>E. 8</w:t>
      </w:r>
    </w:p>
    <w:p>
      <w:r>
        <w:t>a. Sont des prétentions de nature pécuniaire, c'est-à-dire appréciables en argent, celles qui tendent directement à l'octroi de sommes en espèces, notamment au paiement de traitements, d'allocations, d'indemnités ou de prestations d'assurances. Rentrent aussi dans cette catégorie les droits qui sont étroitement liés à un rapport juridique appréciable en argent. Le Tribunal administratif a ainsi reconnu que les prétentions concernant le paiement des heures supplémentaire et la prétention en versement d'une indemnité pour vacances non prises étaient de nature pécuniaire (ATA/222/2006 du 11 avril 2006).</w:t>
      </w:r>
    </w:p>
    <w:p>
      <w:r>
        <w:t>b. Ne sont, en revanche, pas des prétentions de nature pécuniaire celles qui ont trait à la création, à l'établissement et à la disparition des rapports de service, à l'obtention d'une promotion ou d'un avancement, aux vacances, à la reconnaissance d'un diplôme, à la réintégration dans une classe de fonction antérieure et à l'évaluation ou à la réévaluation d'une fonction, car alors la prétention a en réalité deux objets, l'un pécuniaire et l'autre de nature différente. Comme l'aspect pécuniaire n'est pas susceptible d'être jugé de manière indépendante de l'autre objet pour lequel l'autorité hiérarchique dispose d'un pouvoir d'appréciation entier, personne ne saurait alors exiger d'elle qu'elle accorde une prestation dont l'octroi est laissé à sa discrétion. Dans ces cas, peu importe en définitive que le litige débouche sur l'allocation d'une somme d'argent, celle-ci apparaissant comme secondaire (ATA/222/2006 précité).</w:t>
      </w:r>
    </w:p>
    <w:p>
      <w:r>
        <w:rPr>
          <w:b/>
        </w:rPr>
        <w:t>E. 9</w:t>
      </w:r>
    </w:p>
    <w:p>
      <w:r>
        <w:t>Mme X______ fonde son action pécuniaire sur le rapport du service d'évaluation des fonctions.</w:t>
      </w:r>
    </w:p>
    <w:p>
      <w:r>
        <w:rPr>
          <w:b/>
        </w:rPr>
        <w:t>E. 10</w:t>
      </w:r>
    </w:p>
    <w:p>
      <w:r>
        <w:t>L'autorité ou l'organe de nomination fixe la rémunération des membres du personnel dans un acte d'engagement ou de nomination, en application de l'échelle des traitements et du tableau de classement des fonctions (art. 5 LTrait).</w:t>
      </w:r>
    </w:p>
    <w:p>
      <w:r>
        <w:rPr>
          <w:b/>
        </w:rPr>
        <w:t>E. 11</w:t>
      </w:r>
    </w:p>
    <w:p>
      <w:r>
        <w:t>a. Le Conseil d’Etat établit et tient à jour le règlement et le tableau de classement des fonctions permettant de fixer la rémunération de chaque membre du personnel en conformité de l’échelle des traitements (art. 4 al. 1 Ltrait). Les règlements et tableaux de classement des fonctions, établis et tenus à jour par</w:t>
      </w:r>
    </w:p>
    <w:p>
      <w:r>
        <w:t>- 10/13 - A/3107/2008 d’autres autorités ou organes de nomination dans le cadre de leurs compétences respectives, sont soumis à l’approbation du Conseil d’Etat (art. 4 al. 3 LTrait).</w:t>
      </w:r>
    </w:p>
    <w:p>
      <w:r>
        <w:t>b. La classe prévue pour la fonction est déterminée par le résultat de l'évaluation des fonctions. La liste des fonctions, mise à jour et approuvée par le Conseil d'Etat, est à disposition à l'office du personnel de l'Etat (art. 2 RTrait).</w:t>
      </w:r>
    </w:p>
    <w:p>
      <w:r>
        <w:rPr>
          <w:b/>
        </w:rPr>
        <w:t>E. 12</w:t>
      </w:r>
    </w:p>
    <w:p>
      <w:r>
        <w:t>a. Selon l'article 1 alinéa 1 RComEF, une commission de réexamen est instituée. Elle permet aux membres du personnel de l'Etat et des établissements publics médicaux de demander le réexamen des décisions relatives à l'évaluation des fonctions (rangement, cotation, classification).</w:t>
      </w:r>
    </w:p>
    <w:p>
      <w:r>
        <w:t>b. Sont susceptibles d'opposition toutes les décisions relatives à l'évaluation des fonctions mentionnées à l'article 1 à l'exclusion des décisions prises lors de l'engagement (art. 4 RComEF).</w:t>
      </w:r>
    </w:p>
    <w:p>
      <w:r>
        <w:t>Peuvent faire opposition, dans un délai de 30 jours dès réception de la décision, les membres du personnel de l'Etat et des établissements publics médicaux intéressés à titre individuel ou collectif pour la fonction qui les concerne ainsi que le département, l'établissement concerné ou le Grand Conseil, ce dernier étant représenté par son bureau (art. 5 et 6 RComEF).</w:t>
      </w:r>
    </w:p>
    <w:p>
      <w:r>
        <w:t>c. Après avoir vérifié la procédure et l'objectivité de l'analyse effectuée par l'office du personnel, la commission se prononce sur la décision contestée en formulant une proposition au Conseil d'Etat (art. 11 al. 1 RComEF). Le Conseil d'Etat statue en dernier ressort et communique sa décision à l'intéressé.</w:t>
      </w:r>
    </w:p>
    <w:p>
      <w:r>
        <w:rPr>
          <w:b/>
        </w:rPr>
        <w:t>E. 13</w:t>
      </w:r>
    </w:p>
    <w:p>
      <w:r>
        <w:t>Selon le mémento des instructions de l'office du personnel de l'Etat (ci- après : MIOPE), dans le cadre d'une demande d'évaluation, lorsque le département est d'accord avec la proposition de l'OPE, celle-ci devient dès lors une décision de l'office du personnel. Si le département n'est pas d'accord avec la proposition, il adresse à l'OPE, service d'évaluation des fonctions, une lettre dûment motivée (cf. fiche n° 02.01.01 du 1er février 2000, mise à jour le 1er octobre 2008 - http://domem.ge.ch/df/miope/miope.nsf).</w:t>
      </w:r>
    </w:p>
    <w:p>
      <w:r>
        <w:rPr>
          <w:b/>
        </w:rPr>
        <w:t>E. 14</w:t>
      </w:r>
    </w:p>
    <w:p>
      <w:r>
        <w:t>Il ressort des textes légaux précités que la seule autorité compétente pour modifier la classification d'une fonction existante est le Conseil d'Etat. Le service d'évaluation des fonctions n'a pas autorité pour décider de la collocation d'une fonction dans une classe déterminée. Ce service émet une proposition qui est soumise à validation et à ratification par le Conseil d'Etat.</w:t>
      </w:r>
    </w:p>
    <w:p>
      <w:r>
        <w:rPr>
          <w:b/>
        </w:rPr>
        <w:t>E. 15</w:t>
      </w:r>
    </w:p>
    <w:p>
      <w:r>
        <w:t>En l'espèce, un processus de réévaluation de la fonction de formateur d'enseignement a été engagé dès 2002. Il a abouti au dépôt d'un projet de cahier des charges auprès de l'OPE en octobre 2005. En juillet 2007, cet office a proposé les dénominations, profil, pondération et classification correspondant à ceux de "formateurs de l’enseignement primaire - formatrices de l’enseignement primaire</w:t>
      </w:r>
    </w:p>
    <w:p>
      <w:r>
        <w:t>- 11/13 - A/3107/2008 - profils : M B J B I ; 189 points - classe maximum 20". Le DIP a jugé cette proposition cohérente mais a préféré maintenir la situation existante vu les évolutions qui allaient intervenir avec la réorganisation de la formation des enseignants et la création d’une nouvelle direction générale de l’enseignement obligatoire.</w:t>
      </w:r>
    </w:p>
    <w:p>
      <w:r>
        <w:t>Conformément aux termes utilisés dans le rapport d'évaluation, la collocation de la fonction de formateur d'enseignement en classe maximum 20 est une proposition et non une décision. Cette proposition ne fixe pas la rémunération des membres du personnel qui ne peuvent pas s'en prévaloir pour réclamer le versement d'un salaire déterminé. Contrairement aux allégués de Mme X______, elle n'est pas davantage devenue une décision directement applicable faute d'avoir fait l'objet d'une opposition par le département. En effet, comme vu précédemment, la classification de la fonction de formateur reste du seul ressort du Conseil d'Etat. Par ailleurs, le département n'avait pas à faire opposition dans la mesure où il ne contestait pas les conclusions de l'analyse. La demande de Mme X______ en tant qu'elle se fonde sur le rapport d'évaluation du 27 juillet 2007 doit dès lors être déclarée irrecevable.</w:t>
      </w:r>
    </w:p>
    <w:p>
      <w:r>
        <w:rPr>
          <w:b/>
        </w:rPr>
        <w:t>E. 16</w:t>
      </w:r>
    </w:p>
    <w:p>
      <w:r>
        <w:t>Suite à la proposition de l'OPE, le département a, par courrier du 24 août 2007, informé Mme X______ que les formateurs, maîtres spécialistes en psychomotricité détachés de l’enseignant ordinaire et/ou de l’enseignement spécialisé, voyaient leur salaire coulisser de la classe 14 à la classe 16 et qu'une indemnité correspondant à la différence de deux classes (16/00 à 18/00 ou 18/00 à 20/00) leur était octroyée. Il a ainsi fixé l'étendue du droit au traitement et à l'indemnité complémentaire de Mme X______. Comme cette décision touche à la réévaluation de la fonction de formateur, elle ne peut faire l'objet d'un recours selon l'ancienne teneur de la LOJ.</w:t>
      </w:r>
    </w:p>
    <w:p>
      <w:r>
        <w:t>Cette décision ne peut également pas être remise en cause par le biais d'une action pécuniaire. Or, le préjudice financier invoqué par Mme X______ n'est pas susceptible d'être examiné sans revoir la rémunération des formateurs telle qu'elle résulte du courrier du DIP du 24 août 2007. La demande déposée par Mme X______ doit donc être déclarée irrecevable.</w:t>
      </w:r>
    </w:p>
    <w:p>
      <w:r>
        <w:rPr>
          <w:b/>
        </w:rPr>
        <w:t>E. 17</w:t>
      </w:r>
    </w:p>
    <w:p>
      <w:r>
        <w:t>Au vu de ce qui précède, un émolument de CHF 1'000.- sera mis à la charge de Mme X______ (art. 87 LPA). Il ne sera alloué aucune 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