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ATA/177/2017 vom 10. Februar 2017</w:t>
      </w:r>
    </w:p>
    <w:p>
      <w:r>
        <w:t>GE Cour de justice, 2017-02-10, FR</w:t>
      </w:r>
    </w:p>
    <w:p>
      <w:r>
        <w:rPr>
          <w:b/>
        </w:rPr>
        <w:t xml:space="preserve">Quelle: </w:t>
      </w:r>
      <w:r>
        <w:t>https://mcp.opencaselaw.ch/entscheid/ge_gerichte_ATA_177_2017</w:t>
      </w:r>
    </w:p>
    <w:p>
      <w:r>
        <w:t>FR: GE_GERICHTE ATA/177/2017 du 10 février 2017</w:t>
      </w:r>
    </w:p>
    <w:p>
      <w:r>
        <w:t>IT: GE_GERICHTE ATA/177/2017 del 10 febbraio 2017</w:t>
      </w:r>
    </w:p>
    <w:p>
      <w:pPr>
        <w:pStyle w:val="Heading2"/>
      </w:pPr>
      <w:r>
        <w:t>Erwägungen</w:t>
      </w:r>
    </w:p>
    <w:p>
      <w:r>
        <w:rPr>
          <w:b/>
        </w:rPr>
        <w:t>E.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w:t>
      </w:r>
    </w:p>
    <w:p>
      <w:r>
        <w:rPr>
          <w:b/>
        </w:rPr>
        <w:t>E. 2</w:t>
      </w:r>
    </w:p>
    <w:p>
      <w:r>
        <w:t>Sauf disposition légale contraire, le recours a effet suspensif à moins que l’autorité qui a pris la décision attaquée n’ait ordonné l’exécution nonobstant recours (art. 66 al. 1 de la loi sur la procédure administrative du 12 septembre 1985 (LPA - E 5 10).</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w:t>
      </w:r>
    </w:p>
    <w:p>
      <w:r>
        <w:rPr>
          <w:b/>
        </w:rPr>
        <w:t>E.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rPr>
          <w:b/>
        </w:rPr>
        <w:t>E. 4</w:t>
      </w:r>
    </w:p>
    <w:p>
      <w:r>
        <w:t>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sauraient, en principe tout au moins, anticiper le jugement définitif ni équivaloir à une condamnation provisoire sur le fond, pas plus qu’aboutir abusivement à rendre d’emblée illusoire la portée du procès au fond</w:t>
      </w:r>
    </w:p>
    <w:p>
      <w:r>
        <w:t>- 8/11 - A/4047/2016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 Cléa BOUCHAT, l’effet suspensif en procédure administrative, 2015, p. 21 n. 50).</w:t>
      </w:r>
    </w:p>
    <w:p>
      <w:r>
        <w:rPr>
          <w:b/>
        </w:rPr>
        <w:t>E. 5</w:t>
      </w:r>
    </w:p>
    <w:p>
      <w:r>
        <w:t>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6</w:t>
      </w:r>
    </w:p>
    <w:p>
      <w:r>
        <w:t>a. Aux termes de l'art. 14 al. 1 et 2 LCR, tout conducteur de véhicule automobile doit posséder l'aptitude et les qualifications nécessaires à la conduite. En particulier, il ne doit souffrir d'aucune dépendance l'empêchant de conduire un véhicule automobile en toute sécurité (14 al. 2 let. c LCR)</w:t>
      </w:r>
    </w:p>
    <w:p>
      <w:r>
        <w:t>b. Aux termes de l’art. 15d al. 1 let. c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w:t>
      </w:r>
    </w:p>
    <w:p>
      <w:r>
        <w:rPr>
          <w:b/>
        </w:rPr>
        <w:t>E. 7</w:t>
      </w:r>
    </w:p>
    <w:p>
      <w:r>
        <w:t>a.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 (art. 16 al. 1 LCR).</w:t>
      </w:r>
    </w:p>
    <w:p>
      <w:r>
        <w:t>b. Le permis de conduire est retiré pour une durée indéterminée à la personne qui souffre d'une forme de dépendance la rendant inapte à la conduite (art. 16 d al. 1 let.b LCR).</w:t>
      </w:r>
    </w:p>
    <w:p>
      <w:r>
        <w:rPr>
          <w:b/>
        </w:rPr>
        <w:t>E. 8</w:t>
      </w:r>
    </w:p>
    <w:p>
      <w:r>
        <w:t>Est tenu de s'abstenir de conduire quiconque n'en est pas capable parce qu'il est surmené, sous l'effet de l'alcool, d'un médicament, d'un stupéfiant ou pour toute autre</w:t>
      </w:r>
    </w:p>
    <w:p>
      <w:r>
        <w:t>- 9/11 - A/4047/2016 raison (art. 2 al. 1 ordonnance sur les règles de la circulation routière du 13 novembre 1962 (OCR - RS 741.11). Un conducteur est notamment réputé incapable de conduire chaque fois qu'il est prouvé que son sang contient une substance visée aux let a à g, notamment du THC (cannabis) (art 2 al. 2 let. a OCR). La présence attestée d'une des substances mentionnées à l'al. 2 ne suffit pas, à elle seule, à établir l'incapacité de conduire d'une personne à même de prouver qu'elle en consomme une ou plusieurs sur prescription médicale (art. 2 al. 2ter OCR).</w:t>
      </w:r>
    </w:p>
    <w:p>
      <w:r>
        <w:t>En vertu de la compétence déléguée par l’art. 2 al. 2bis OCR, l'Office fédéral des routes (OFROU) a retenu, que la présence de THC est considérée comme prouvée lorsque sa quantité dans le sang atteint ou dépasse la valeur de 1,5 µg/par litre de sang (art. 34 let. a de l’ordonnance de l’office fédéral des routes (OFROU) concernant l’OOCCR du 22 mai 2008 (OOCCR-OFROU).</w:t>
      </w:r>
    </w:p>
    <w:p>
      <w:r>
        <w:rPr>
          <w:b/>
        </w:rPr>
        <w:t>E. 9</w:t>
      </w:r>
    </w:p>
    <w:p>
      <w:r>
        <w:t>Dans les cas où la police effectue des prélèvements lors de contrôle routiers, les résultats de l'analyse du sang et des urines sont soumis à l'appréciation d'experts reconnus, à l'attention de l'autorité compétente, pour la sanction pénale et le retrait du permis, quant à leur portée sur la capacité de conduire, lorsqu’il est prouvé que le sang contient une substance diminuant la capacité de conduire autre que l'alcool ou une substance visée à l'art. 2 al. 2 OCR (art. 16 al. 1 let. a de l’ordonnance sur le contrôle de la circulation routière du 28 mars 2007 (art. 16 al. 2 let. a OCCR RS 741.013) ou lorsqu’une personne a consommé sur ordonnance médicale une substance visée à l'art. 2, al. 2, OCR, mais qu'il existe des indices accréditant une incapacité de conduire (art. 16 al. 2 let. b OCCR).</w:t>
      </w:r>
    </w:p>
    <w:p>
      <w:r>
        <w:rPr>
          <w:b/>
        </w:rPr>
        <w:t>E. 10</w:t>
      </w:r>
    </w:p>
    <w:p>
      <w:r>
        <w:t>Selon l'art. 30 de l'ordonnance réglant l’admission des personnes et des véhicules à la circulation routière du 27 octobre 1976 (OAC - RS 741.51), le permis de conduire peut être retiré à titre préventif en cas de doute sérieux quant à l'aptitude à la conduite d'une personne.Cette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sans qu’un retrait définitif puisse d’emblée être décidé. Pour décider d'un retrait préventif, l'autorité doit se fonder sur les éléments dont elle dispose en l'état. La prise en considération de tous les éléments plaidant pour ou contre l'aptitude de l'intéressé à la conduite de véhicules automobiles interviendra à l'issue de la procédure au fond (ATF 125 II 492 consid. 2b p. 496; 122 II 359 consid. 3a p. 364; arrêt du Tribunal fédéral 1C_514/2016 du 16 janvier 2017 consid. 2.2.).</w:t>
      </w:r>
    </w:p>
    <w:p>
      <w:r>
        <w:rPr>
          <w:b/>
        </w:rPr>
        <w:t>E. 11</w:t>
      </w:r>
    </w:p>
    <w:p>
      <w:r>
        <w:t>En l’espèce, il s’agit de déterminer s’il y a lieu de restituer l’effet suspensif au recours interjeté contre la décision du SCV du 24 octobre 2016, ce qui conduirait notamment à la restitution provisoire de son permis de conduire au recourant, ainsi qu’à la suspension du nouveau mandat d’expertise confié au CURML par l’autorité.</w:t>
      </w:r>
    </w:p>
    <w:p>
      <w:r>
        <w:t>- 10/11 - A/4047/2016</w:t>
      </w:r>
    </w:p>
    <w:p>
      <w:r>
        <w:t>En l’occurrence, lorsque le recourant a été contrôlé le 1er juillet 2016, son sang contenait une quantité de THC (11µg/litre de sang) bien supérieure à celle du seuil (1.5 µg/litre de sang) à partir duquel une consommation de cette drogue était établi (art. 34 let. a OOCCR-OFROU) ce qui entraîne pour le moins des doutes quant à l’aptitude à la conduite de l’intéressé (art 2 al. 2 let. a OCR). Le recourant se prévaut de différents certificats médicaux qui légitimeraient sa consommation. Il omet de prendre en considération que peu avant le contrôle, le CURML, déjà nanti d’un mandat d’expertise à son propos, lui avait écrit le 8 décembre 2015 pour lui rappeler que la seule consommation de THC autorisée sous contrôle médical devait se faire par voie orale et non pas par inhalation, mais surtout lui avait demandé, par courriers des 27 avril et 1er juin 2016 de s’abstenir de toute consommation de drogue.</w:t>
      </w:r>
    </w:p>
    <w:p>
      <w:r>
        <w:t>Force est de constater que le recourant, malgré cela, a pris le risque de continuer à consommer du THC par inhalation tout en conduisant, en se prévalant de l’aval de son médecin traitant, sans tenir compte des prescriptions des autorités médicales spécialisées et en prenant le risque de contrevenir à la loi. Dans ces circonstances, il doit être retenu qu’existe un intérêt public important à préserver les autres usagers de la route de tout risque lié à une conduite sous l’effet de produits stupéfiants jusqu’à ce qu’il soit statué définitivement sur le recours. L’intérêt public prévaut largement sur l’intérêt privé du recourant à pouvoir récupérer immédiatement son permis de conduire, même si l’on peut admettre que cela entraîne pour lui de multiples problèmes.</w:t>
      </w:r>
    </w:p>
    <w:p>
      <w:r>
        <w:t>La requête en restitution de l’effet suspensif conduirait également à empêcher le CURML de mener son expertise en fonction du mandat confié par le SCV. À ce sujet, les conclusions prises par le recourant dans son recours devant le TAPI ne sont pas extrêmement claires. Néanmoins, l’intérêt public à ce que cette expertise d’aptitude à la conduite soit menée de la manière la plus complète et dans les meilleurs délais prévaut sur l’intérêt privé - peu compréhensible - du recourant à ce qu’elle soit différée et menée en fonction d’un mandat formulé différemment.</w:t>
      </w:r>
    </w:p>
    <w:p>
      <w:r>
        <w:rPr>
          <w:b/>
        </w:rPr>
        <w:t>E. 12</w:t>
      </w:r>
    </w:p>
    <w:p>
      <w:r>
        <w:t>La requête en restitution de l’effet suspensif sera rejetée.</w:t>
      </w:r>
    </w:p>
    <w:p>
      <w:r>
        <w:t>LA CHAMBRE ADMINISTRATIVE refuse de restituer l’effet suspensif au recours ; réserve le sort des frais de la procédure jusqu’à droit jugé au fond ;</w:t>
      </w:r>
    </w:p>
    <w:p>
      <w:r>
        <w:t>- 11/11 - A/4047/2016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Jacques Roulet, avocat du recourant, au service cantonal des véhicules, ainsi qu’au Tribunal administratif de première instance.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