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ATA/177/2015 vom 17. Februar 2015</w:t>
      </w:r>
    </w:p>
    <w:p>
      <w:r>
        <w:t>GE Cour de justice, 2015-02-17, FR</w:t>
      </w:r>
    </w:p>
    <w:p>
      <w:r>
        <w:rPr>
          <w:b/>
        </w:rPr>
        <w:t xml:space="preserve">Quelle: </w:t>
      </w:r>
      <w:r>
        <w:t>https://mcp.opencaselaw.ch/entscheid/ge_gerichte_ATA_177_2015</w:t>
      </w:r>
    </w:p>
    <w:p>
      <w:r>
        <w:t>FR: GE_GERICHTE ATA/177/2015 du 17 février 2015</w:t>
      </w:r>
    </w:p>
    <w:p>
      <w:r>
        <w:t>IT: GE_GERICHTE ATA/177/2015 del 17 febbraio 2015</w:t>
      </w:r>
    </w:p>
    <w:p>
      <w:pPr>
        <w:pStyle w:val="Heading2"/>
      </w:pPr>
      <w:r>
        <w:t>Erwägungen</w:t>
      </w:r>
    </w:p>
    <w:p>
      <w:r>
        <w:rPr>
          <w:b/>
        </w:rPr>
        <w:t>E. 12</w:t>
      </w:r>
    </w:p>
    <w:p>
      <w:r>
        <w:t>septembre 1985 - LPA - E 5 10). 2)</w:t>
      </w:r>
    </w:p>
    <w:p>
      <w:r>
        <w:t>Les recourantes se plaignent d’une violation de leur droit d’être entendues devant le TAPI, celui-ci ne leur ayant pas donné l’occasion de répliquer avant de rendre sa décision du 25 août 2014.</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w:t>
      </w:r>
    </w:p>
    <w:p>
      <w:r>
        <w:t>- 9/15 - A/834/2014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 ATA/126/2013 du 26 février 2013).</w:t>
      </w:r>
    </w:p>
    <w:p>
      <w:r>
        <w:t>Dans les procédures judiciaires soumises à l’art. 29 al. 1er Cst., dont le champ d’application est plus vaste que celui de l’art. 6 § 1 CEDH, chaque partie jouit d’un droit de réplique élargi, soit celui de prendre position sur toutes les écritures de l’autorité précédente ou des adverses parties, indépendamment de la présence d’éléments nouveaux et importants dans ces documents (ATF 138 I 484 publié in Jdt 2014 I 32 ; ATF 138 I 154 publié in JdT 2013 I 162). Le Tribunal fédéral considère qu'un délai inférieur à dix jours ne suffit pas à garantir l'exercice du droit de répliquer, tandis qu'un délai supérieur à vingt jours permet, en l'absence de réaction, d'inférer qu'il a été renoncé au droit de répliquer (arrêts 1C_688/2013 du 17 avril 2014 consid. 3.1 ; 2C_939/2013 du 31 mars 2014 consid. 2.4 ; 8C_1032/2012 du 17 décembre 2013 consid. 3.2 ; 9C_193/2013 du 22 juillet 2013 consid. 2.1.2 ; 5A_155/2013 du 17 avril 2013 consid. 1.4 ; 1B_407/2012 du 21 septembre 2012 consid. 2.2).</w:t>
      </w:r>
    </w:p>
    <w:p>
      <w:r>
        <w:t>b. En l'espèce, les recourantes ne contestent pas avoir reçu les écritures du département du 20 mai 2014, que le TAPI leur a acheminées le 23 mai 2014. En rendant le jugement le 25 août 2014, le TAPI était en droit d’inférer que les recourantes renonçaient à répliquer. Le droit d’être entendu de celles-ci n’a pas été violé. De surcroît, une éventuelle violation dudit droit aurait été réparée devant la chambre de céans, les sociétés ayant pu faire valoir leurs griefs dans l’acte de recours et ayant eu l’occasion de répliquer.</w:t>
      </w:r>
    </w:p>
    <w:p>
      <w:r>
        <w:t>Le grief de violation du droit d’être entendu est infondé. 3)</w:t>
      </w:r>
    </w:p>
    <w:p>
      <w:r>
        <w:t>Les recourantes contestent devoir une taxe d’équipement au motif que les infrastructures seraient déjà existantes. 4)</w:t>
      </w:r>
    </w:p>
    <w:p>
      <w:r>
        <w:t>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Un terrain est réputé équipé lorsqu'il est desservi d'une manière adaptée à l'utilisation prévue par des voies d'accès et par des conduites auxquelles il est</w:t>
      </w:r>
    </w:p>
    <w:p>
      <w:r>
        <w:t>- 10/15 - A/834/2014 possible de se raccorder sans frais disproportionnés pour l'alimentation en eau et en énergie, ainsi que pour l'évacuation des eaux usées (art. 19 al. 1 LAT).</w:t>
      </w:r>
    </w:p>
    <w:p>
      <w:r>
        <w:t>Les zones à bâtir sont équipées par la collectivité intéressée dans le délai prévu par le programme d'équipement. La précision « si nécessaire de manière échelonnée » a été ajoutée dans la modification de la LAT entrée en vigueur le 1er mai 2014 (art. 19 al. 2 1ère phrase LAT).</w:t>
      </w:r>
    </w:p>
    <w:p>
      <w:r>
        <w:t>Le droit cantonal règle la participation financière des propriétaires fonciers (art. 19 al. 2 2ème phrase LAT). 5)</w:t>
      </w:r>
    </w:p>
    <w:p>
      <w:r>
        <w:t>Cette législation est largement complétée par le droit cantonal.</w:t>
      </w:r>
    </w:p>
    <w:p>
      <w:r>
        <w:t>a. 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La délivrance d’autorisations de construire selon les normes d’une zone de développement est subordonnée, sous réserve des demandes portant sur des objets de peu d’importance ou provisoires, à l’approbation préalable par le Conseil d’État, notamment d’un PLQ au sens de l’art. 3, assorti d’un règlement (art. 2 al. 1 let. a LGZD).</w:t>
      </w:r>
    </w:p>
    <w:p>
      <w:r>
        <w:t>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 18 septembre 1986 (LEn - L 2.30 ; art. 3 al. 1 LGZD).</w:t>
      </w:r>
    </w:p>
    <w:p>
      <w:r>
        <w:t>Ils prévoient aussi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w:t>
      </w:r>
    </w:p>
    <w:p>
      <w:r>
        <w:t>- 11/15 - A/834/2014</w:t>
      </w:r>
    </w:p>
    <w:p>
      <w:r>
        <w:t>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w:t>
      </w:r>
    </w:p>
    <w:p>
      <w:r>
        <w:t>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w:t>
      </w:r>
    </w:p>
    <w:p>
      <w:r>
        <w:t>En règle générale, les prestations prévues à l’art. 4 al. 1 let. a et c LGZD, sont assurées par le paiement d’une taxe d’équipement calculée en fonction des frais d’équipement public du quartier considéré, de l’importance et de la destination des constructions et installations projetées (art. 4 al. 3 LGZD).</w:t>
      </w:r>
    </w:p>
    <w:p>
      <w:r>
        <w:t>b. Par frais d'équipement public, il faut entendre le coût de réalisation ou de modification des voies de communication publiques prévues par le programme d’équipement tel que défini à l’art. 3 al. 2 let. a LGZD, y compris leurs canalisations (art. 9 al. 1 du règlement d'application de la loi générale sur les zones de développement du 20 décembre 1978 - RGZD - L 1 35.01).</w:t>
      </w:r>
    </w:p>
    <w:p>
      <w:r>
        <w:t>Le PLQ ainsi que le règlement de quartier doivent contenir les indications précises à propos des équipements qui devront être assumés par la collectivité et ceux assumés par les propriétaires (art. 9 al. 2 RGZD).</w:t>
      </w:r>
    </w:p>
    <w:p>
      <w:r>
        <w:t>Le débiteur de la taxe d'équipement au sens de l'article 4 de la LGZD est le propriétaire ou le superficiaire du terrain sur lequel doit être érigé le projet qui fait l'objet d'une autorisation définitive de construire (art. 10 al. 1 RGZD).</w:t>
      </w:r>
    </w:p>
    <w:p>
      <w:r>
        <w:t>La taxe d'équipement est due par chaque propriétaire ou superficiaire à raison de l'importance des surfaces brutes de plancher assignées à sa parcelle, selon l’autorisation de construire considérée (art. 11 al. 1 RGZD).</w:t>
      </w:r>
    </w:p>
    <w:p>
      <w:r>
        <w:t>La taxe d'équipement se monte en principe à CHF 40.- le m2 de surface brute de plancher à créer, sous réserve des alinéas 3, 4 et 5 (art. 11 al. 2 RGZD).</w:t>
      </w:r>
    </w:p>
    <w:p>
      <w:r>
        <w:t>Le montant de CHF 40.- le m2 de surface brute de plancher à créer, visé à l'alinéa 2, est adapté à l'indice suisse des prix de la construction applicable à la région lémanique à compter du 1er janvier 2004, lors de chaque écart égal ou supérieur de 5 % (art. 11 al. 5 RGZD).</w:t>
      </w:r>
    </w:p>
    <w:p>
      <w:r>
        <w:t>Lorsque le montant total des frais d'équipement publics nécessités par la réalisation du PLQ considéré est connu et résulte du crédit que la commune intéressée est tenue d’adopter en vue du financement des travaux nécessaires, la</w:t>
      </w:r>
    </w:p>
    <w:p>
      <w:r>
        <w:t>- 12/15 - A/834/2014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6)</w:t>
      </w:r>
    </w:p>
    <w:p>
      <w:r>
        <w:t>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w:t>
      </w:r>
    </w:p>
    <w:p>
      <w:r>
        <w:t>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7)</w:t>
      </w:r>
    </w:p>
    <w:p>
      <w:r>
        <w:t>En l'espèce, la recourante tient notamment grief au bordereau litigieux de violer le droit, le terrain concerné étant déjà équipé.</w:t>
      </w:r>
    </w:p>
    <w:p>
      <w:r>
        <w:t>Il n’est pas contesté que le montant total des frais d'équipement public nécessités par la réalisation du PLQ considéré est connu, dans la mesure où la commune de Vernier n'entend plus réaliser aucun équipement et que cette dernière n'a pas adopté de crédit en vue du financement de travaux. Dans la mesure où il s'agit de conditions cumulatives, l'art. 11 al. 3 RGZD est inapplicable.</w:t>
      </w:r>
    </w:p>
    <w:p>
      <w:r>
        <w:t>- 13/15 - A/834/2014</w:t>
      </w:r>
    </w:p>
    <w:p>
      <w:r>
        <w:t>Il en découle qu'il y a lieu d'appliquer l'art. 11 al. 2 RGZD, disposition prévoyant la méthode de calcul forfaitaire, méthode habituelle de calcul pour la taxe d'équipement (ATA/921/2014 du 25 novembre 2014).</w:t>
      </w:r>
    </w:p>
    <w:p>
      <w:r>
        <w:t>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(ATA/921/2014 précité).</w:t>
      </w:r>
    </w:p>
    <w:p>
      <w:r>
        <w:t>Le grief est infondé. 8)</w:t>
      </w:r>
    </w:p>
    <w:p>
      <w:r>
        <w:t>Se pose la question de la bonne foi des sociétés.</w:t>
      </w:r>
    </w:p>
    <w:p>
      <w:r>
        <w:t>Le 18 juillet 2008, les sociétés ont signé pour accord les formulaires intitulés « Conditions d’application des normes de la zone de développement » établis par l’office de l’urbanisme, indiquant que les taxes d’équipement public étaient arrêtées à CHF 61'440.- et de CHF 31'680.-, avant de recourir ensuite auprès du TAPI contre ces factures.</w:t>
      </w:r>
    </w:p>
    <w:p>
      <w:r>
        <w:t>Les organes de l’État et les particuliers doivent agir de manière conforme aux règles de la bonne foi (art. 5 al. 3 Cst.).</w:t>
      </w:r>
    </w:p>
    <w:p>
      <w:r>
        <w:t>En signant les formulaires uniquement pour obtenir les autorisations sollicitées, puis en recourant contre la facture, les sociétés ont manifestement violé le principe de la bonne foi. En effet, dès la signature dudit document, le DALE était en droit de considérer le montant de la facture comme accepté (ATA/921/2014 précité). 9)</w:t>
      </w:r>
    </w:p>
    <w:p>
      <w:r>
        <w:t>Au vu de l’accord des sociétés du 18 juillet 2008, des arrêtés du Conseil d’État du 29 septembre 2008 et des autorisations délivrées les 10 et 14 octobre 2008, c’est à juste titre que le TAPI a déclaré les recours du 19 mars 2014 irrecevables, les bordereaux des 10 et 14 octobre 2008 n’étant que des mesures d’exécution de décisions, au sens de l’art. 59 let. b LPA. 10) Il n’est dès lors pas nécessaire de déterminer si le courrier du 7 janvier 2009 valait réclamation, d’examiner le contenu de la correspondance du département du 5 février 2009, ni même si la facture du 31 décembre 2013 est une décision sujette à recours. En effet, même à considérer que les recourantes auraient interjeté recours en temps utile contre une décision, l’issue de la présente procédure ne serait pas modifiée, au vu de l’engagement pris par les recourantes le 18 juillet 2008.</w:t>
      </w:r>
    </w:p>
    <w:p>
      <w:r>
        <w:t>Le changement de pratique invoqué par les recourantes est sans pertinence. Outre le fait que les sociétés n’allèguent nullement en quoi la pratique aurait été</w:t>
      </w:r>
    </w:p>
    <w:p>
      <w:r>
        <w:t>- 14/15 - A/834/2014 modifiée, le département n’a fait que formaliser, voire préciser dans une directive, une pratique qui avait été élaborée à la suite de l’audit de la Cour des comptes et de la communiquer, comme préconisé par le rapport d’audit (ATA/130/2015 du 3 février 2015). Cette formalisation est sans incidence sur la taxe d’équipement due par les sociétés en lien avec l’autorisation de construire DD 101'096 et 101'059.</w:t>
      </w:r>
    </w:p>
    <w:p>
      <w:r>
        <w:t>Les griefs de mauvais établissement des faits par le TAPI est infondé compte tenu de ce qui précède. 11) Partant, les factures du DALE des 10 et 14 octobre 2008, reprises par facture du 31 décembre 2013, adressée aux sociétés, liée à l'autorisation de construire, d'un montant de CHF 61'440.- et de CHF 31'680.-, relative à la taxe d'équipement public sont conformes à la loi, notamment au regard de l'art. 11 al. 2 RGZD. 12) Le recours sera rejeté.</w:t>
      </w:r>
    </w:p>
    <w:p>
      <w:r>
        <w:t>Vu l’issue du litige, un émolument de CHF 2’000.- sera mis à la charge à la charge conjointe et solidaire des sociétés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